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A19E" w14:textId="0F4EE616" w:rsidR="00F85B6F" w:rsidRPr="00B266B0" w:rsidRDefault="00F85B6F" w:rsidP="00F85B6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93DB0">
        <w:rPr>
          <w:bCs/>
          <w:noProof w:val="0"/>
          <w:sz w:val="24"/>
          <w:szCs w:val="24"/>
        </w:rPr>
        <w:t>1664</w:t>
      </w:r>
    </w:p>
    <w:p w14:paraId="05FE47DF" w14:textId="60DD82FA" w:rsidR="00CD4C7B" w:rsidRPr="00B1063A" w:rsidRDefault="00F85B6F" w:rsidP="00F85B6F">
      <w:pPr>
        <w:pStyle w:val="Header"/>
        <w:rPr>
          <w:bCs/>
          <w:noProof w:val="0"/>
          <w:sz w:val="24"/>
          <w:lang w:val="en-US"/>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Pr>
          <w:noProof w:val="0"/>
          <w:sz w:val="24"/>
          <w:szCs w:val="24"/>
          <w:lang w:eastAsia="zh-CN"/>
        </w:rPr>
        <w:tab/>
      </w:r>
      <w:r w:rsidRPr="00F85B6F">
        <w:rPr>
          <w:i/>
          <w:iCs/>
          <w:noProof w:val="0"/>
          <w:sz w:val="24"/>
          <w:szCs w:val="24"/>
          <w:lang w:eastAsia="zh-CN"/>
        </w:rPr>
        <w:t xml:space="preserve">    </w:t>
      </w:r>
      <w:r w:rsidRPr="00F85B6F">
        <w:rPr>
          <w:i/>
          <w:iCs/>
          <w:noProof w:val="0"/>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r>
      <w:r w:rsidR="00D6502E">
        <w:rPr>
          <w:sz w:val="24"/>
          <w:szCs w:val="24"/>
          <w:lang w:eastAsia="zh-CN"/>
        </w:rPr>
        <w:tab/>
        <w:t xml:space="preserve">   </w:t>
      </w:r>
      <w:r w:rsidR="00D6502E">
        <w:rPr>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397075D3" w:rsidR="00CD4C7B" w:rsidRPr="00B1063A" w:rsidRDefault="411DB4A4" w:rsidP="2EDABC84">
      <w:pPr>
        <w:pStyle w:val="CRCoverPage"/>
        <w:tabs>
          <w:tab w:val="left" w:pos="1985"/>
        </w:tabs>
        <w:rPr>
          <w:rFonts w:cs="Arial"/>
          <w:b/>
          <w:bCs/>
          <w:sz w:val="24"/>
          <w:szCs w:val="24"/>
          <w:lang w:val="en-US" w:eastAsia="ja-JP"/>
        </w:rPr>
      </w:pPr>
      <w:r w:rsidRPr="2EDABC84">
        <w:rPr>
          <w:rFonts w:cs="Arial"/>
          <w:b/>
          <w:bCs/>
          <w:sz w:val="24"/>
          <w:szCs w:val="24"/>
          <w:lang w:val="en-US"/>
        </w:rPr>
        <w:t>Agenda item:</w:t>
      </w:r>
      <w:r w:rsidR="00CD4C7B">
        <w:tab/>
      </w:r>
      <w:r w:rsidR="5E0A786A" w:rsidRPr="2EDABC84">
        <w:rPr>
          <w:rFonts w:cs="Arial"/>
          <w:b/>
          <w:bCs/>
          <w:sz w:val="24"/>
          <w:szCs w:val="24"/>
          <w:lang w:val="en-US" w:eastAsia="ja-JP"/>
        </w:rPr>
        <w:t>8.14.</w:t>
      </w:r>
      <w:r w:rsidR="229E7848" w:rsidRPr="2EDABC84">
        <w:rPr>
          <w:rFonts w:cs="Arial"/>
          <w:b/>
          <w:bCs/>
          <w:sz w:val="24"/>
          <w:szCs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A07145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540CC5">
        <w:rPr>
          <w:rFonts w:ascii="Arial" w:hAnsi="Arial" w:cs="Arial"/>
          <w:b/>
          <w:bCs/>
          <w:sz w:val="24"/>
        </w:rPr>
        <w:t>support in NR-DC</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3BEA727" w14:textId="05635C21" w:rsidR="007F6989" w:rsidRDefault="007F6989" w:rsidP="00B35A97">
      <w:r>
        <w:t xml:space="preserve">The agreements made in </w:t>
      </w:r>
      <w:r w:rsidR="00654FE7">
        <w:t xml:space="preserve">RAN2#119bis-e </w:t>
      </w:r>
      <w:r>
        <w:t xml:space="preserve">that context established set of the </w:t>
      </w:r>
      <w:r w:rsidR="00654FE7">
        <w:t xml:space="preserve">initial principles </w:t>
      </w:r>
      <w:r>
        <w:t xml:space="preserve">for the functionality, as follows: </w:t>
      </w:r>
    </w:p>
    <w:p w14:paraId="1A067D46"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Observation: Rel-18 </w:t>
      </w:r>
      <w:proofErr w:type="spellStart"/>
      <w:r w:rsidRPr="007F6989">
        <w:rPr>
          <w:sz w:val="18"/>
          <w:szCs w:val="18"/>
        </w:rPr>
        <w:t>QoE</w:t>
      </w:r>
      <w:proofErr w:type="spellEnd"/>
      <w:r w:rsidRPr="007F6989">
        <w:rPr>
          <w:sz w:val="18"/>
          <w:szCs w:val="18"/>
        </w:rPr>
        <w:t xml:space="preserve"> configuration may be created by MN or SN. </w:t>
      </w:r>
    </w:p>
    <w:p w14:paraId="0600AB38"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Either SRB1 or SRB3 can be used for providing SN configuration to UE (at least for </w:t>
      </w:r>
      <w:proofErr w:type="gramStart"/>
      <w:r w:rsidRPr="007F6989">
        <w:rPr>
          <w:sz w:val="18"/>
          <w:szCs w:val="18"/>
        </w:rPr>
        <w:t>m-based</w:t>
      </w:r>
      <w:proofErr w:type="gramEnd"/>
      <w:r w:rsidRPr="007F6989">
        <w:rPr>
          <w:sz w:val="18"/>
          <w:szCs w:val="18"/>
        </w:rPr>
        <w:t xml:space="preserve"> </w:t>
      </w:r>
      <w:proofErr w:type="spellStart"/>
      <w:r w:rsidRPr="007F6989">
        <w:rPr>
          <w:sz w:val="18"/>
          <w:szCs w:val="18"/>
        </w:rPr>
        <w:t>QoE</w:t>
      </w:r>
      <w:proofErr w:type="spellEnd"/>
      <w:r w:rsidRPr="007F6989">
        <w:rPr>
          <w:sz w:val="18"/>
          <w:szCs w:val="18"/>
        </w:rPr>
        <w:t>). FFS if this requires additional MN-SN coordination.</w:t>
      </w:r>
    </w:p>
    <w:p w14:paraId="5B8F38C6"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1: In NR-DC scenario, both signalling-based and management-based </w:t>
      </w:r>
      <w:proofErr w:type="spellStart"/>
      <w:r w:rsidRPr="007F6989">
        <w:rPr>
          <w:sz w:val="18"/>
          <w:szCs w:val="18"/>
        </w:rPr>
        <w:t>QoE</w:t>
      </w:r>
      <w:proofErr w:type="spellEnd"/>
      <w:r w:rsidRPr="007F6989">
        <w:rPr>
          <w:sz w:val="18"/>
          <w:szCs w:val="18"/>
        </w:rPr>
        <w:t xml:space="preserve"> measurement collection shall be supported.</w:t>
      </w:r>
    </w:p>
    <w:p w14:paraId="242FF395"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RAN2 assumes that there is a unique ID for </w:t>
      </w:r>
      <w:proofErr w:type="spellStart"/>
      <w:r w:rsidRPr="007F6989">
        <w:rPr>
          <w:sz w:val="18"/>
          <w:szCs w:val="18"/>
        </w:rPr>
        <w:t>QoE</w:t>
      </w:r>
      <w:proofErr w:type="spellEnd"/>
      <w:r w:rsidRPr="007F6989">
        <w:rPr>
          <w:sz w:val="18"/>
          <w:szCs w:val="18"/>
        </w:rPr>
        <w:t xml:space="preserve"> configurations across MN and SN. This can be accomplished by MN-SN coordination (</w:t>
      </w:r>
      <w:proofErr w:type="gramStart"/>
      <w:r w:rsidRPr="007F6989">
        <w:rPr>
          <w:sz w:val="18"/>
          <w:szCs w:val="18"/>
        </w:rPr>
        <w:t>e.g.</w:t>
      </w:r>
      <w:proofErr w:type="gramEnd"/>
      <w:r w:rsidRPr="007F6989">
        <w:rPr>
          <w:sz w:val="18"/>
          <w:szCs w:val="18"/>
        </w:rPr>
        <w:t xml:space="preserve"> similar as was done with </w:t>
      </w:r>
      <w:proofErr w:type="spellStart"/>
      <w:r w:rsidRPr="007F6989">
        <w:rPr>
          <w:sz w:val="18"/>
          <w:szCs w:val="18"/>
        </w:rPr>
        <w:t>measIds</w:t>
      </w:r>
      <w:proofErr w:type="spellEnd"/>
      <w:r w:rsidRPr="007F6989">
        <w:rPr>
          <w:sz w:val="18"/>
          <w:szCs w:val="18"/>
        </w:rPr>
        <w:t xml:space="preserve"> for NR-DC)</w:t>
      </w:r>
    </w:p>
    <w:p w14:paraId="7E0EF368" w14:textId="77777777" w:rsidR="007F6989" w:rsidRPr="007F6989" w:rsidRDefault="007F6989" w:rsidP="007F6989">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Use SRB4 as baseline for Rel-18 </w:t>
      </w:r>
      <w:proofErr w:type="spellStart"/>
      <w:r w:rsidRPr="007F6989">
        <w:rPr>
          <w:sz w:val="18"/>
          <w:szCs w:val="18"/>
        </w:rPr>
        <w:t>QoE</w:t>
      </w:r>
      <w:proofErr w:type="spellEnd"/>
      <w:r w:rsidRPr="007F6989">
        <w:rPr>
          <w:sz w:val="18"/>
          <w:szCs w:val="18"/>
        </w:rPr>
        <w:t xml:space="preserve">. FFS how we can send </w:t>
      </w:r>
      <w:proofErr w:type="spellStart"/>
      <w:r w:rsidRPr="007F6989">
        <w:rPr>
          <w:sz w:val="18"/>
          <w:szCs w:val="18"/>
        </w:rPr>
        <w:t>QoE</w:t>
      </w:r>
      <w:proofErr w:type="spellEnd"/>
      <w:r w:rsidRPr="007F6989">
        <w:rPr>
          <w:sz w:val="18"/>
          <w:szCs w:val="18"/>
        </w:rPr>
        <w:t xml:space="preserve"> reports towards SN (</w:t>
      </w:r>
      <w:proofErr w:type="gramStart"/>
      <w:r w:rsidRPr="007F6989">
        <w:rPr>
          <w:sz w:val="18"/>
          <w:szCs w:val="18"/>
        </w:rPr>
        <w:t>e.g.</w:t>
      </w:r>
      <w:proofErr w:type="gramEnd"/>
      <w:r w:rsidRPr="007F6989">
        <w:rPr>
          <w:sz w:val="18"/>
          <w:szCs w:val="18"/>
        </w:rPr>
        <w:t xml:space="preserve"> only SRB4, define new SRB, reuse SRB3, split SRB). Discuss details in the next meeting.</w:t>
      </w:r>
    </w:p>
    <w:p w14:paraId="20939AAC" w14:textId="77777777" w:rsidR="007F6989" w:rsidRPr="00236D9A" w:rsidRDefault="007F6989" w:rsidP="00B35A97">
      <w:pPr>
        <w:rPr>
          <w:sz w:val="2"/>
          <w:szCs w:val="2"/>
        </w:rPr>
      </w:pPr>
    </w:p>
    <w:p w14:paraId="4BBEA80E" w14:textId="4EF313E7" w:rsidR="0057648B" w:rsidRPr="00473F07" w:rsidRDefault="007F6989" w:rsidP="00B35A97">
      <w:pPr>
        <w:rPr>
          <w:lang w:eastAsia="zh-CN"/>
        </w:rPr>
      </w:pPr>
      <w:r>
        <w:t xml:space="preserve">This contribution continues </w:t>
      </w:r>
      <w:r w:rsidR="00B2279C">
        <w:t>discussion on</w:t>
      </w:r>
      <w:r>
        <w:t xml:space="preserve"> configuration and reporting principles to support </w:t>
      </w:r>
      <w:proofErr w:type="spellStart"/>
      <w:r>
        <w:t>QoE</w:t>
      </w:r>
      <w:proofErr w:type="spellEnd"/>
      <w:r>
        <w:t xml:space="preserve"> Measurements Collection in DC.</w:t>
      </w:r>
    </w:p>
    <w:p w14:paraId="18B3CE4C" w14:textId="77777777" w:rsidR="007677A8" w:rsidRDefault="00B61EF1" w:rsidP="007677A8">
      <w:pPr>
        <w:pStyle w:val="Heading1"/>
      </w:pPr>
      <w:r w:rsidRPr="006E13D1">
        <w:t>2</w:t>
      </w:r>
      <w:r w:rsidRPr="006E13D1">
        <w:tab/>
      </w:r>
      <w:r>
        <w:t>Discussion</w:t>
      </w:r>
    </w:p>
    <w:p w14:paraId="39C3344C" w14:textId="02F3E720" w:rsidR="00B61EF1" w:rsidRDefault="00B61EF1" w:rsidP="007677A8">
      <w:pPr>
        <w:pStyle w:val="Heading2"/>
      </w:pPr>
      <w:r>
        <w:rPr>
          <w:lang w:eastAsia="zh-CN"/>
        </w:rPr>
        <w:t>2.1</w:t>
      </w:r>
      <w:r>
        <w:rPr>
          <w:lang w:eastAsia="zh-CN"/>
        </w:rPr>
        <w:tab/>
      </w:r>
      <w:proofErr w:type="spellStart"/>
      <w:r>
        <w:rPr>
          <w:lang w:eastAsia="zh-CN"/>
        </w:rPr>
        <w:t>QoE</w:t>
      </w:r>
      <w:proofErr w:type="spellEnd"/>
      <w:r>
        <w:rPr>
          <w:lang w:eastAsia="zh-CN"/>
        </w:rPr>
        <w:t xml:space="preserve"> measurement </w:t>
      </w:r>
      <w:r w:rsidR="007677A8">
        <w:rPr>
          <w:lang w:eastAsia="zh-CN"/>
        </w:rPr>
        <w:t>configuration</w:t>
      </w:r>
    </w:p>
    <w:p w14:paraId="56FEBD61" w14:textId="4F6E467C" w:rsidR="007F6989" w:rsidRDefault="00B2279C" w:rsidP="00447BE9">
      <w:pPr>
        <w:contextualSpacing/>
        <w:jc w:val="both"/>
      </w:pPr>
      <w:r>
        <w:t>T</w:t>
      </w:r>
      <w:r w:rsidR="007F6989">
        <w:t xml:space="preserve">he </w:t>
      </w:r>
      <w:proofErr w:type="spellStart"/>
      <w:r w:rsidR="007F6989">
        <w:t>QoE</w:t>
      </w:r>
      <w:proofErr w:type="spellEnd"/>
      <w:r w:rsidR="007F6989">
        <w:t xml:space="preserve"> </w:t>
      </w:r>
      <w:r w:rsidR="00654FE7">
        <w:t xml:space="preserve">measurement data collection </w:t>
      </w:r>
      <w:r w:rsidR="007F6989">
        <w:t>support in Dual Connectivity</w:t>
      </w:r>
      <w:r>
        <w:t xml:space="preserve"> brings the potential need for different </w:t>
      </w:r>
      <w:proofErr w:type="spellStart"/>
      <w:r>
        <w:t>QoE</w:t>
      </w:r>
      <w:proofErr w:type="spellEnd"/>
      <w:r>
        <w:t xml:space="preserve"> configuration origins (from MN or SN)</w:t>
      </w:r>
      <w:r w:rsidR="007F6989">
        <w:t>.  In that context,</w:t>
      </w:r>
      <w:r w:rsidR="007F6989" w:rsidRPr="007F6989">
        <w:t xml:space="preserve"> </w:t>
      </w:r>
      <w:r w:rsidR="007F6989">
        <w:t xml:space="preserve">the extensions required for </w:t>
      </w:r>
      <w:proofErr w:type="spellStart"/>
      <w:r w:rsidR="007F6989">
        <w:t>QoE</w:t>
      </w:r>
      <w:proofErr w:type="spellEnd"/>
      <w:r w:rsidR="007F6989">
        <w:t xml:space="preserve"> measurement collection in DC has </w:t>
      </w:r>
      <w:r>
        <w:t>been progressed in RAN3</w:t>
      </w:r>
      <w:r w:rsidR="00654FE7">
        <w:t xml:space="preserve">. </w:t>
      </w:r>
      <w:proofErr w:type="gramStart"/>
      <w:r w:rsidR="00654FE7">
        <w:t xml:space="preserve">In particular, </w:t>
      </w:r>
      <w:r w:rsidR="007F6989">
        <w:t>RAN3</w:t>
      </w:r>
      <w:proofErr w:type="gramEnd"/>
      <w:r w:rsidR="007F6989">
        <w:t xml:space="preserve"> agreed th</w:t>
      </w:r>
      <w:r w:rsidR="00C80A2E">
        <w:t xml:space="preserve">e following: </w:t>
      </w:r>
      <w:r w:rsidR="007F6989">
        <w:t xml:space="preserve"> </w:t>
      </w:r>
    </w:p>
    <w:p w14:paraId="6A791CA8" w14:textId="38174AD6" w:rsidR="007F6989" w:rsidRPr="00C80A2E" w:rsidRDefault="007F6989" w:rsidP="00C80A2E">
      <w:pPr>
        <w:pStyle w:val="ListParagraph"/>
        <w:numPr>
          <w:ilvl w:val="0"/>
          <w:numId w:val="2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C80A2E">
        <w:rPr>
          <w:rFonts w:ascii="Times New Roman" w:hAnsi="Times New Roman"/>
          <w:sz w:val="20"/>
          <w:szCs w:val="20"/>
        </w:rPr>
        <w:t xml:space="preserve">Only MN node will configure the UE for Signalling based </w:t>
      </w:r>
      <w:proofErr w:type="spellStart"/>
      <w:r w:rsidRPr="00C80A2E">
        <w:rPr>
          <w:rFonts w:ascii="Times New Roman" w:hAnsi="Times New Roman"/>
          <w:sz w:val="20"/>
          <w:szCs w:val="20"/>
        </w:rPr>
        <w:t>QoE</w:t>
      </w:r>
      <w:proofErr w:type="spellEnd"/>
      <w:r w:rsidRPr="00C80A2E">
        <w:rPr>
          <w:rFonts w:ascii="Times New Roman" w:hAnsi="Times New Roman"/>
          <w:sz w:val="20"/>
          <w:szCs w:val="20"/>
        </w:rPr>
        <w:t>.</w:t>
      </w:r>
    </w:p>
    <w:p w14:paraId="0258E96D" w14:textId="4C6E6A48" w:rsidR="00C80A2E" w:rsidRPr="00C80A2E" w:rsidRDefault="00C80A2E" w:rsidP="00C80A2E">
      <w:pPr>
        <w:pStyle w:val="ListParagraph"/>
        <w:numPr>
          <w:ilvl w:val="0"/>
          <w:numId w:val="2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C80A2E">
        <w:rPr>
          <w:rFonts w:ascii="Times New Roman" w:hAnsi="Times New Roman"/>
          <w:sz w:val="20"/>
          <w:szCs w:val="20"/>
        </w:rPr>
        <w:t xml:space="preserve">If the M-based </w:t>
      </w:r>
      <w:proofErr w:type="spellStart"/>
      <w:r w:rsidRPr="00C80A2E">
        <w:rPr>
          <w:rFonts w:ascii="Times New Roman" w:hAnsi="Times New Roman"/>
          <w:sz w:val="20"/>
          <w:szCs w:val="20"/>
        </w:rPr>
        <w:t>QoE</w:t>
      </w:r>
      <w:proofErr w:type="spellEnd"/>
      <w:r w:rsidRPr="00C80A2E">
        <w:rPr>
          <w:rFonts w:ascii="Times New Roman" w:hAnsi="Times New Roman"/>
          <w:sz w:val="20"/>
          <w:szCs w:val="20"/>
        </w:rPr>
        <w:t xml:space="preserve"> configuration is received by the MN, the MN should make the decision on the UE selection and on which node sends the </w:t>
      </w:r>
      <w:proofErr w:type="spellStart"/>
      <w:r w:rsidRPr="00C80A2E">
        <w:rPr>
          <w:rFonts w:ascii="Times New Roman" w:hAnsi="Times New Roman"/>
          <w:sz w:val="20"/>
          <w:szCs w:val="20"/>
        </w:rPr>
        <w:t>QoE</w:t>
      </w:r>
      <w:proofErr w:type="spellEnd"/>
      <w:r w:rsidRPr="00C80A2E">
        <w:rPr>
          <w:rFonts w:ascii="Times New Roman" w:hAnsi="Times New Roman"/>
          <w:sz w:val="20"/>
          <w:szCs w:val="20"/>
        </w:rPr>
        <w:t xml:space="preserve"> configuration to the UE.</w:t>
      </w:r>
    </w:p>
    <w:p w14:paraId="27FFB98B" w14:textId="6E741251" w:rsidR="00C80A2E" w:rsidRPr="00C80A2E" w:rsidRDefault="00C80A2E" w:rsidP="00C80A2E">
      <w:pPr>
        <w:pStyle w:val="ListParagraph"/>
        <w:numPr>
          <w:ilvl w:val="0"/>
          <w:numId w:val="2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C80A2E">
        <w:rPr>
          <w:rFonts w:ascii="Times New Roman" w:hAnsi="Times New Roman"/>
          <w:sz w:val="20"/>
          <w:szCs w:val="20"/>
        </w:rPr>
        <w:t xml:space="preserve">If the M-based </w:t>
      </w:r>
      <w:proofErr w:type="spellStart"/>
      <w:r w:rsidRPr="00C80A2E">
        <w:rPr>
          <w:rFonts w:ascii="Times New Roman" w:hAnsi="Times New Roman"/>
          <w:sz w:val="20"/>
          <w:szCs w:val="20"/>
        </w:rPr>
        <w:t>QoE</w:t>
      </w:r>
      <w:proofErr w:type="spellEnd"/>
      <w:r w:rsidRPr="00C80A2E">
        <w:rPr>
          <w:rFonts w:ascii="Times New Roman" w:hAnsi="Times New Roman"/>
          <w:sz w:val="20"/>
          <w:szCs w:val="20"/>
        </w:rPr>
        <w:t xml:space="preserve"> configuration is received only by the SN, whether the MN or the SN performs UE selection and sends the </w:t>
      </w:r>
      <w:proofErr w:type="spellStart"/>
      <w:r w:rsidRPr="00C80A2E">
        <w:rPr>
          <w:rFonts w:ascii="Times New Roman" w:hAnsi="Times New Roman"/>
          <w:sz w:val="20"/>
          <w:szCs w:val="20"/>
        </w:rPr>
        <w:t>QoE</w:t>
      </w:r>
      <w:proofErr w:type="spellEnd"/>
      <w:r w:rsidRPr="00C80A2E">
        <w:rPr>
          <w:rFonts w:ascii="Times New Roman" w:hAnsi="Times New Roman"/>
          <w:sz w:val="20"/>
          <w:szCs w:val="20"/>
        </w:rPr>
        <w:t xml:space="preserve"> configuration to the UE needs to be further discussed.</w:t>
      </w:r>
    </w:p>
    <w:p w14:paraId="62EACF35" w14:textId="2147C11B" w:rsidR="00C80A2E" w:rsidRDefault="00C80A2E" w:rsidP="00C80A2E">
      <w:pPr>
        <w:contextualSpacing/>
      </w:pPr>
      <w:r>
        <w:t>W</w:t>
      </w:r>
      <w:r w:rsidR="007F6989">
        <w:t>ithin the developed framework</w:t>
      </w:r>
      <w:r w:rsidR="00654FE7">
        <w:t xml:space="preserve"> for DC</w:t>
      </w:r>
      <w:r w:rsidR="007F6989">
        <w:t>, it becomes clear that the only use case to consider SN</w:t>
      </w:r>
      <w:r w:rsidR="00FE4A36">
        <w:t>-</w:t>
      </w:r>
      <w:r w:rsidR="007F6989">
        <w:t xml:space="preserve">triggered configuration remains limited to Management-based </w:t>
      </w:r>
      <w:proofErr w:type="spellStart"/>
      <w:r w:rsidR="007F6989">
        <w:t>QoE</w:t>
      </w:r>
      <w:proofErr w:type="spellEnd"/>
      <w:r w:rsidR="001566DC">
        <w:t xml:space="preserve"> and </w:t>
      </w:r>
      <w:r w:rsidR="007F6989">
        <w:t>RAN3 currently investigates the coordination between MN and SN</w:t>
      </w:r>
      <w:r w:rsidR="001566DC">
        <w:t xml:space="preserve"> to select the UE.  </w:t>
      </w:r>
    </w:p>
    <w:p w14:paraId="6E1C3A56" w14:textId="77777777" w:rsidR="00C80A2E" w:rsidRPr="00BF56E0" w:rsidRDefault="00C80A2E" w:rsidP="00C80A2E">
      <w:pPr>
        <w:contextualSpacing/>
        <w:rPr>
          <w:rFonts w:ascii="Calibri" w:hAnsi="Calibri" w:cs="Calibri"/>
          <w:i/>
          <w:iCs/>
          <w:color w:val="00B050"/>
          <w:kern w:val="2"/>
        </w:rPr>
      </w:pPr>
    </w:p>
    <w:p w14:paraId="61BE835F" w14:textId="6CA49208" w:rsidR="007F6989" w:rsidRPr="00C66D8A" w:rsidRDefault="007F6989" w:rsidP="007F6989">
      <w:pPr>
        <w:jc w:val="both"/>
        <w:rPr>
          <w:b/>
          <w:bCs/>
        </w:rPr>
      </w:pPr>
      <w:r w:rsidRPr="00C66D8A">
        <w:rPr>
          <w:b/>
          <w:bCs/>
        </w:rPr>
        <w:t xml:space="preserve">Observation </w:t>
      </w:r>
      <w:r w:rsidR="00C80A2E" w:rsidRPr="00C66D8A">
        <w:rPr>
          <w:b/>
          <w:bCs/>
        </w:rPr>
        <w:t>1</w:t>
      </w:r>
      <w:r w:rsidRPr="00C66D8A">
        <w:rPr>
          <w:b/>
          <w:bCs/>
        </w:rPr>
        <w:t>: SN</w:t>
      </w:r>
      <w:r w:rsidR="002612F9" w:rsidRPr="00C66D8A">
        <w:rPr>
          <w:b/>
          <w:bCs/>
        </w:rPr>
        <w:t>-</w:t>
      </w:r>
      <w:r w:rsidRPr="00C66D8A">
        <w:rPr>
          <w:b/>
          <w:bCs/>
        </w:rPr>
        <w:t xml:space="preserve">triggered </w:t>
      </w:r>
      <w:proofErr w:type="spellStart"/>
      <w:r w:rsidR="002612F9" w:rsidRPr="00C66D8A">
        <w:rPr>
          <w:b/>
          <w:bCs/>
        </w:rPr>
        <w:t>QoE</w:t>
      </w:r>
      <w:proofErr w:type="spellEnd"/>
      <w:r w:rsidR="002612F9" w:rsidRPr="00C66D8A">
        <w:rPr>
          <w:b/>
          <w:bCs/>
        </w:rPr>
        <w:t xml:space="preserve"> </w:t>
      </w:r>
      <w:r w:rsidRPr="00C66D8A">
        <w:rPr>
          <w:b/>
          <w:bCs/>
        </w:rPr>
        <w:t>configuration</w:t>
      </w:r>
      <w:r w:rsidR="00BF56E0" w:rsidRPr="00C66D8A">
        <w:rPr>
          <w:b/>
          <w:bCs/>
        </w:rPr>
        <w:t xml:space="preserve"> </w:t>
      </w:r>
      <w:r w:rsidR="00C80A2E" w:rsidRPr="00C66D8A">
        <w:rPr>
          <w:b/>
          <w:bCs/>
        </w:rPr>
        <w:t>require</w:t>
      </w:r>
      <w:r w:rsidR="002612F9" w:rsidRPr="00C66D8A">
        <w:rPr>
          <w:b/>
          <w:bCs/>
        </w:rPr>
        <w:t>s</w:t>
      </w:r>
      <w:r w:rsidR="00C80A2E" w:rsidRPr="00C66D8A">
        <w:rPr>
          <w:b/>
          <w:bCs/>
        </w:rPr>
        <w:t xml:space="preserve"> MN-SN coordination</w:t>
      </w:r>
      <w:r w:rsidRPr="00C66D8A">
        <w:rPr>
          <w:b/>
          <w:bCs/>
        </w:rPr>
        <w:t xml:space="preserve"> </w:t>
      </w:r>
      <w:r w:rsidR="00C80A2E" w:rsidRPr="00C66D8A">
        <w:rPr>
          <w:b/>
          <w:bCs/>
        </w:rPr>
        <w:t xml:space="preserve">and details are pending </w:t>
      </w:r>
      <w:r w:rsidRPr="00C66D8A">
        <w:rPr>
          <w:b/>
          <w:bCs/>
        </w:rPr>
        <w:t>RAN3 progress.</w:t>
      </w:r>
    </w:p>
    <w:p w14:paraId="5DDED2E0" w14:textId="6ABC8087" w:rsidR="002612F9" w:rsidRPr="004D070B" w:rsidRDefault="00BF56E0" w:rsidP="009A350F">
      <w:pPr>
        <w:pStyle w:val="TAL"/>
        <w:rPr>
          <w:rFonts w:ascii="Times New Roman" w:hAnsi="Times New Roman"/>
          <w:sz w:val="20"/>
        </w:rPr>
      </w:pPr>
      <w:r w:rsidRPr="004D070B">
        <w:rPr>
          <w:rFonts w:ascii="Times New Roman" w:hAnsi="Times New Roman"/>
          <w:sz w:val="20"/>
        </w:rPr>
        <w:lastRenderedPageBreak/>
        <w:t xml:space="preserve">Within RAN2 scope, however, RRC signalling enabling the support of the legacy </w:t>
      </w:r>
      <w:proofErr w:type="spellStart"/>
      <w:r w:rsidRPr="004D070B">
        <w:rPr>
          <w:rFonts w:ascii="Times New Roman" w:hAnsi="Times New Roman"/>
          <w:sz w:val="20"/>
        </w:rPr>
        <w:t>QoE</w:t>
      </w:r>
      <w:proofErr w:type="spellEnd"/>
      <w:r w:rsidRPr="004D070B">
        <w:rPr>
          <w:rFonts w:ascii="Times New Roman" w:hAnsi="Times New Roman"/>
          <w:sz w:val="20"/>
        </w:rPr>
        <w:t xml:space="preserve"> measurement configuration does not explicitly distinguish Signalling vs. Management based </w:t>
      </w:r>
      <w:proofErr w:type="spellStart"/>
      <w:r w:rsidRPr="004D070B">
        <w:rPr>
          <w:rFonts w:ascii="Times New Roman" w:hAnsi="Times New Roman"/>
          <w:sz w:val="20"/>
        </w:rPr>
        <w:t>QoE</w:t>
      </w:r>
      <w:proofErr w:type="spellEnd"/>
      <w:r w:rsidRPr="004D070B">
        <w:rPr>
          <w:rFonts w:ascii="Times New Roman" w:hAnsi="Times New Roman"/>
          <w:sz w:val="20"/>
        </w:rPr>
        <w:t xml:space="preserve"> configuration. </w:t>
      </w:r>
      <w:r w:rsidR="009A350F" w:rsidRPr="004D070B">
        <w:rPr>
          <w:rFonts w:ascii="Times New Roman" w:hAnsi="Times New Roman"/>
          <w:sz w:val="20"/>
        </w:rPr>
        <w:t>The RRC Reconfiguration message</w:t>
      </w:r>
      <w:r w:rsidR="00340D55">
        <w:rPr>
          <w:rFonts w:ascii="Times New Roman" w:hAnsi="Times New Roman"/>
          <w:sz w:val="20"/>
        </w:rPr>
        <w:t xml:space="preserve"> </w:t>
      </w:r>
      <w:r w:rsidR="00340D55" w:rsidRPr="004D070B">
        <w:rPr>
          <w:rFonts w:ascii="Times New Roman" w:hAnsi="Times New Roman"/>
          <w:sz w:val="20"/>
        </w:rPr>
        <w:t xml:space="preserve">to configure </w:t>
      </w:r>
      <w:proofErr w:type="spellStart"/>
      <w:r w:rsidR="00340D55" w:rsidRPr="004D070B">
        <w:rPr>
          <w:rFonts w:ascii="Times New Roman" w:hAnsi="Times New Roman"/>
          <w:sz w:val="20"/>
        </w:rPr>
        <w:t>QoE</w:t>
      </w:r>
      <w:proofErr w:type="spellEnd"/>
      <w:r w:rsidR="00340D55" w:rsidRPr="004D070B">
        <w:rPr>
          <w:rFonts w:ascii="Times New Roman" w:hAnsi="Times New Roman"/>
          <w:sz w:val="20"/>
        </w:rPr>
        <w:t xml:space="preserve"> measurements</w:t>
      </w:r>
      <w:r w:rsidR="00A15770">
        <w:rPr>
          <w:rFonts w:ascii="Times New Roman" w:hAnsi="Times New Roman"/>
          <w:sz w:val="20"/>
        </w:rPr>
        <w:t xml:space="preserve"> is agnostic to the original </w:t>
      </w:r>
      <w:proofErr w:type="spellStart"/>
      <w:r w:rsidR="00A15770">
        <w:rPr>
          <w:rFonts w:ascii="Times New Roman" w:hAnsi="Times New Roman"/>
          <w:sz w:val="20"/>
        </w:rPr>
        <w:t>QoE</w:t>
      </w:r>
      <w:proofErr w:type="spellEnd"/>
      <w:r w:rsidR="00A15770">
        <w:rPr>
          <w:rFonts w:ascii="Times New Roman" w:hAnsi="Times New Roman"/>
          <w:sz w:val="20"/>
        </w:rPr>
        <w:t xml:space="preserve"> configuration type (</w:t>
      </w:r>
      <w:r w:rsidR="00A15770" w:rsidRPr="004D070B">
        <w:rPr>
          <w:rFonts w:ascii="Times New Roman" w:hAnsi="Times New Roman"/>
          <w:sz w:val="20"/>
        </w:rPr>
        <w:t xml:space="preserve">Signalling vs. Management based </w:t>
      </w:r>
      <w:proofErr w:type="spellStart"/>
      <w:r w:rsidR="00A15770" w:rsidRPr="004D070B">
        <w:rPr>
          <w:rFonts w:ascii="Times New Roman" w:hAnsi="Times New Roman"/>
          <w:sz w:val="20"/>
        </w:rPr>
        <w:t>QoE</w:t>
      </w:r>
      <w:proofErr w:type="spellEnd"/>
      <w:r w:rsidR="00A15770">
        <w:rPr>
          <w:rFonts w:ascii="Times New Roman" w:hAnsi="Times New Roman"/>
          <w:sz w:val="20"/>
        </w:rPr>
        <w:t>). The RRC Reconfiguration message</w:t>
      </w:r>
      <w:r w:rsidR="009A350F" w:rsidRPr="004D070B">
        <w:rPr>
          <w:rFonts w:ascii="Times New Roman" w:hAnsi="Times New Roman"/>
          <w:sz w:val="20"/>
        </w:rPr>
        <w:t xml:space="preserve"> that is currently used for Stand Alone scenario, </w:t>
      </w:r>
      <w:r w:rsidR="00340D55">
        <w:rPr>
          <w:rFonts w:ascii="Times New Roman" w:hAnsi="Times New Roman"/>
          <w:sz w:val="20"/>
        </w:rPr>
        <w:t xml:space="preserve">need </w:t>
      </w:r>
      <w:r w:rsidR="00F520DA">
        <w:rPr>
          <w:rFonts w:ascii="Times New Roman" w:hAnsi="Times New Roman"/>
          <w:sz w:val="20"/>
        </w:rPr>
        <w:t xml:space="preserve">to </w:t>
      </w:r>
      <w:r w:rsidR="009A350F" w:rsidRPr="004D070B">
        <w:rPr>
          <w:rFonts w:ascii="Times New Roman" w:hAnsi="Times New Roman"/>
          <w:sz w:val="20"/>
        </w:rPr>
        <w:t xml:space="preserve">use </w:t>
      </w:r>
      <w:proofErr w:type="spellStart"/>
      <w:r w:rsidR="009A350F" w:rsidRPr="004D070B">
        <w:rPr>
          <w:rFonts w:ascii="Times New Roman" w:hAnsi="Times New Roman"/>
          <w:i/>
          <w:iCs/>
          <w:sz w:val="20"/>
        </w:rPr>
        <w:t>appLayerMeasConfig</w:t>
      </w:r>
      <w:proofErr w:type="spellEnd"/>
      <w:r w:rsidR="009A350F" w:rsidRPr="004D070B">
        <w:rPr>
          <w:rFonts w:ascii="Times New Roman" w:hAnsi="Times New Roman"/>
          <w:sz w:val="20"/>
        </w:rPr>
        <w:t xml:space="preserve"> Information Element</w:t>
      </w:r>
      <w:r w:rsidR="00703778">
        <w:rPr>
          <w:rFonts w:ascii="Times New Roman" w:hAnsi="Times New Roman"/>
          <w:sz w:val="20"/>
        </w:rPr>
        <w:t xml:space="preserve"> to configure the UE</w:t>
      </w:r>
      <w:r w:rsidR="009A350F" w:rsidRPr="004D070B">
        <w:rPr>
          <w:rFonts w:ascii="Times New Roman" w:hAnsi="Times New Roman"/>
          <w:sz w:val="20"/>
        </w:rPr>
        <w:t xml:space="preserve">. Since RRC Reconfiguration message </w:t>
      </w:r>
      <w:r w:rsidR="00205465">
        <w:rPr>
          <w:rFonts w:ascii="Times New Roman" w:hAnsi="Times New Roman"/>
          <w:sz w:val="20"/>
        </w:rPr>
        <w:t xml:space="preserve">can be already </w:t>
      </w:r>
      <w:r w:rsidR="009A350F" w:rsidRPr="004D070B">
        <w:rPr>
          <w:rFonts w:ascii="Times New Roman" w:hAnsi="Times New Roman"/>
          <w:sz w:val="20"/>
        </w:rPr>
        <w:t>send over SRB1 or SRB3</w:t>
      </w:r>
      <w:r w:rsidR="00205465">
        <w:rPr>
          <w:rFonts w:ascii="Times New Roman" w:hAnsi="Times New Roman"/>
          <w:sz w:val="20"/>
        </w:rPr>
        <w:t xml:space="preserve"> (</w:t>
      </w:r>
      <w:r w:rsidR="008E4FCB">
        <w:rPr>
          <w:rFonts w:ascii="Times New Roman" w:hAnsi="Times New Roman"/>
          <w:sz w:val="20"/>
        </w:rPr>
        <w:t xml:space="preserve">i.e., </w:t>
      </w:r>
      <w:r w:rsidR="00205465">
        <w:rPr>
          <w:rFonts w:ascii="Times New Roman" w:hAnsi="Times New Roman"/>
          <w:sz w:val="20"/>
        </w:rPr>
        <w:t xml:space="preserve">RRC Reconfiguration is applicable to SRB1 and SRB3 </w:t>
      </w:r>
      <w:r w:rsidR="009A350F" w:rsidRPr="004D070B">
        <w:rPr>
          <w:rFonts w:ascii="Times New Roman" w:hAnsi="Times New Roman"/>
          <w:sz w:val="20"/>
        </w:rPr>
        <w:t>in the light of RRC signalling</w:t>
      </w:r>
      <w:r w:rsidR="00205465">
        <w:rPr>
          <w:rFonts w:ascii="Times New Roman" w:hAnsi="Times New Roman"/>
          <w:sz w:val="20"/>
        </w:rPr>
        <w:t>)</w:t>
      </w:r>
      <w:r w:rsidR="004D070B">
        <w:rPr>
          <w:rFonts w:ascii="Times New Roman" w:hAnsi="Times New Roman"/>
          <w:sz w:val="20"/>
        </w:rPr>
        <w:t xml:space="preserve">, </w:t>
      </w:r>
      <w:r w:rsidR="004D070B" w:rsidRPr="004D070B">
        <w:rPr>
          <w:rFonts w:ascii="Times New Roman" w:hAnsi="Times New Roman"/>
          <w:sz w:val="20"/>
        </w:rPr>
        <w:t xml:space="preserve">it is already feasible </w:t>
      </w:r>
      <w:r w:rsidR="009A350F" w:rsidRPr="004D070B">
        <w:rPr>
          <w:rFonts w:ascii="Times New Roman" w:hAnsi="Times New Roman"/>
          <w:sz w:val="20"/>
        </w:rPr>
        <w:t xml:space="preserve">to </w:t>
      </w:r>
      <w:r w:rsidR="004D070B">
        <w:rPr>
          <w:rFonts w:ascii="Times New Roman" w:hAnsi="Times New Roman"/>
          <w:sz w:val="20"/>
        </w:rPr>
        <w:t>send</w:t>
      </w:r>
      <w:r w:rsidR="009A350F" w:rsidRPr="004D070B">
        <w:rPr>
          <w:rFonts w:ascii="Times New Roman" w:hAnsi="Times New Roman"/>
          <w:sz w:val="20"/>
        </w:rPr>
        <w:t xml:space="preserve"> the </w:t>
      </w:r>
      <w:r w:rsidR="002612F9" w:rsidRPr="004D070B">
        <w:rPr>
          <w:rFonts w:ascii="Times New Roman" w:hAnsi="Times New Roman"/>
          <w:sz w:val="20"/>
        </w:rPr>
        <w:t xml:space="preserve">SN-triggered </w:t>
      </w:r>
      <w:proofErr w:type="spellStart"/>
      <w:r w:rsidR="002612F9" w:rsidRPr="004D070B">
        <w:rPr>
          <w:rFonts w:ascii="Times New Roman" w:hAnsi="Times New Roman"/>
          <w:sz w:val="20"/>
        </w:rPr>
        <w:t>QoE</w:t>
      </w:r>
      <w:proofErr w:type="spellEnd"/>
      <w:r w:rsidR="002612F9" w:rsidRPr="004D070B">
        <w:rPr>
          <w:rFonts w:ascii="Times New Roman" w:hAnsi="Times New Roman"/>
          <w:sz w:val="20"/>
        </w:rPr>
        <w:t xml:space="preserve"> configuration</w:t>
      </w:r>
      <w:r w:rsidR="009A350F" w:rsidRPr="004D070B">
        <w:rPr>
          <w:rFonts w:ascii="Times New Roman" w:hAnsi="Times New Roman"/>
          <w:sz w:val="20"/>
        </w:rPr>
        <w:t xml:space="preserve"> towards the UE.</w:t>
      </w:r>
    </w:p>
    <w:p w14:paraId="2C8AF610" w14:textId="77777777" w:rsidR="004D070B" w:rsidRPr="004D070B" w:rsidRDefault="004D070B" w:rsidP="009A350F">
      <w:pPr>
        <w:pStyle w:val="TAL"/>
        <w:rPr>
          <w:rFonts w:ascii="Times New Roman" w:hAnsi="Times New Roman"/>
          <w:sz w:val="20"/>
        </w:rPr>
      </w:pPr>
    </w:p>
    <w:p w14:paraId="02A8F1BD" w14:textId="3C15663D" w:rsidR="004D070B" w:rsidRPr="00ED5B38" w:rsidRDefault="004D070B" w:rsidP="004D070B">
      <w:pPr>
        <w:jc w:val="both"/>
        <w:rPr>
          <w:b/>
          <w:bCs/>
        </w:rPr>
      </w:pPr>
      <w:r w:rsidRPr="00ED5B38">
        <w:rPr>
          <w:b/>
          <w:bCs/>
        </w:rPr>
        <w:t xml:space="preserve">Proposal 1: SN-triggered configuration to the UE (over SRB1 or SRB3) reuse RRC Reconfiguration with </w:t>
      </w:r>
      <w:proofErr w:type="spellStart"/>
      <w:r w:rsidRPr="00ED5B38">
        <w:rPr>
          <w:b/>
          <w:bCs/>
          <w:i/>
          <w:iCs/>
        </w:rPr>
        <w:t>appLayerMeasConfig</w:t>
      </w:r>
      <w:proofErr w:type="spellEnd"/>
      <w:r w:rsidRPr="00ED5B38">
        <w:rPr>
          <w:b/>
          <w:bCs/>
        </w:rPr>
        <w:t xml:space="preserve"> IE. </w:t>
      </w:r>
    </w:p>
    <w:p w14:paraId="2ECF9765" w14:textId="7B32761D" w:rsidR="00D86C8C" w:rsidRDefault="001566DC" w:rsidP="00BF56E0">
      <w:pPr>
        <w:jc w:val="both"/>
      </w:pPr>
      <w:r>
        <w:t>Given the</w:t>
      </w:r>
      <w:r w:rsidR="004D070B">
        <w:t xml:space="preserve"> MN and SN</w:t>
      </w:r>
      <w:r>
        <w:t xml:space="preserve"> coordination would ensure the</w:t>
      </w:r>
      <w:r w:rsidR="00617A14">
        <w:t xml:space="preserve"> same UE is not selected by the two nodes</w:t>
      </w:r>
      <w:r w:rsidR="004D070B">
        <w:t xml:space="preserve"> </w:t>
      </w:r>
      <w:r w:rsidR="00617A14">
        <w:t xml:space="preserve">at the same time, we </w:t>
      </w:r>
      <w:r w:rsidR="00D86C8C">
        <w:t xml:space="preserve">understand network coordination will ensure there is no duplicated </w:t>
      </w:r>
      <w:proofErr w:type="spellStart"/>
      <w:r w:rsidR="00D86C8C">
        <w:t>QoE</w:t>
      </w:r>
      <w:proofErr w:type="spellEnd"/>
      <w:r w:rsidR="00D86C8C">
        <w:t xml:space="preserve"> configuration provided towards the UE. </w:t>
      </w:r>
      <w:r w:rsidR="00B312E9">
        <w:t xml:space="preserve">It concerns </w:t>
      </w:r>
      <w:proofErr w:type="spellStart"/>
      <w:r w:rsidR="00B312E9">
        <w:t>gNB</w:t>
      </w:r>
      <w:proofErr w:type="spellEnd"/>
      <w:r w:rsidR="00B312E9">
        <w:t xml:space="preserve"> </w:t>
      </w:r>
      <w:r w:rsidR="00D66CBF">
        <w:t>handling</w:t>
      </w:r>
      <w:r w:rsidR="00B312E9">
        <w:t xml:space="preserve"> of the </w:t>
      </w:r>
      <w:r w:rsidR="00D46048">
        <w:t xml:space="preserve">incoming </w:t>
      </w:r>
      <w:proofErr w:type="spellStart"/>
      <w:r w:rsidR="00B312E9">
        <w:t>QoE</w:t>
      </w:r>
      <w:proofErr w:type="spellEnd"/>
      <w:r w:rsidR="00B312E9">
        <w:t xml:space="preserve"> configuration </w:t>
      </w:r>
      <w:r w:rsidR="00D66CBF">
        <w:t xml:space="preserve">from Core Network. </w:t>
      </w:r>
      <w:r w:rsidR="00D86C8C">
        <w:t xml:space="preserve">However, from the UE perspective, the </w:t>
      </w:r>
      <w:r w:rsidR="004D070B">
        <w:t xml:space="preserve">MN- and </w:t>
      </w:r>
      <w:r w:rsidR="00D86C8C">
        <w:t>SN-triggered configuration</w:t>
      </w:r>
      <w:r w:rsidR="004D070B">
        <w:t>s</w:t>
      </w:r>
      <w:r w:rsidR="00D86C8C">
        <w:t xml:space="preserve"> need</w:t>
      </w:r>
      <w:r w:rsidR="004D070B">
        <w:t xml:space="preserve"> to also </w:t>
      </w:r>
      <w:r w:rsidR="00D86C8C">
        <w:t xml:space="preserve">respect the </w:t>
      </w:r>
      <w:r w:rsidR="00C72B53">
        <w:t xml:space="preserve">unique identification of the </w:t>
      </w:r>
      <w:proofErr w:type="spellStart"/>
      <w:r w:rsidR="00C72B53">
        <w:t>QoE</w:t>
      </w:r>
      <w:proofErr w:type="spellEnd"/>
      <w:r w:rsidR="00C72B53">
        <w:t xml:space="preserve"> configuration as well as </w:t>
      </w:r>
      <w:r w:rsidR="00D86C8C">
        <w:t>maximum number of the application layer configurations</w:t>
      </w:r>
      <w:r w:rsidR="004D070B">
        <w:t xml:space="preserve"> that the UE can support. </w:t>
      </w:r>
    </w:p>
    <w:p w14:paraId="18ACFFC7" w14:textId="2FC06687" w:rsidR="63915CC9" w:rsidRPr="00D473A6" w:rsidRDefault="63915CC9" w:rsidP="75E77BF8">
      <w:pPr>
        <w:jc w:val="both"/>
        <w:rPr>
          <w:b/>
          <w:bCs/>
        </w:rPr>
      </w:pPr>
      <w:r w:rsidRPr="00D473A6">
        <w:rPr>
          <w:b/>
          <w:bCs/>
        </w:rPr>
        <w:t xml:space="preserve">Proposal 2: The MN coordinates with SN the ongoing UE’s </w:t>
      </w:r>
      <w:proofErr w:type="spellStart"/>
      <w:r w:rsidRPr="00D473A6">
        <w:rPr>
          <w:b/>
          <w:bCs/>
        </w:rPr>
        <w:t>QoE</w:t>
      </w:r>
      <w:proofErr w:type="spellEnd"/>
      <w:r w:rsidRPr="00D473A6">
        <w:rPr>
          <w:b/>
          <w:bCs/>
        </w:rPr>
        <w:t xml:space="preserve"> configurations, ensuring </w:t>
      </w:r>
      <w:proofErr w:type="spellStart"/>
      <w:r w:rsidRPr="00D473A6">
        <w:rPr>
          <w:b/>
          <w:bCs/>
        </w:rPr>
        <w:t>QoE</w:t>
      </w:r>
      <w:proofErr w:type="spellEnd"/>
      <w:r w:rsidRPr="00D473A6">
        <w:rPr>
          <w:b/>
          <w:bCs/>
        </w:rPr>
        <w:t xml:space="preserve"> configuration id </w:t>
      </w:r>
      <w:r w:rsidR="5165FDE1" w:rsidRPr="00D473A6">
        <w:rPr>
          <w:b/>
          <w:bCs/>
        </w:rPr>
        <w:t xml:space="preserve">(i.e., </w:t>
      </w:r>
      <w:proofErr w:type="spellStart"/>
      <w:r w:rsidR="5165FDE1" w:rsidRPr="00D473A6">
        <w:rPr>
          <w:b/>
          <w:bCs/>
          <w:i/>
          <w:iCs/>
        </w:rPr>
        <w:t>measConfigAppLayerId</w:t>
      </w:r>
      <w:proofErr w:type="spellEnd"/>
      <w:r w:rsidR="5165FDE1" w:rsidRPr="00D473A6">
        <w:rPr>
          <w:b/>
          <w:bCs/>
        </w:rPr>
        <w:t xml:space="preserve">) </w:t>
      </w:r>
      <w:r w:rsidRPr="00D473A6">
        <w:rPr>
          <w:b/>
          <w:bCs/>
        </w:rPr>
        <w:t xml:space="preserve">is unique and maximum number of the simultaneous </w:t>
      </w:r>
      <w:proofErr w:type="spellStart"/>
      <w:r w:rsidRPr="00D473A6">
        <w:rPr>
          <w:b/>
          <w:bCs/>
        </w:rPr>
        <w:t>QoE</w:t>
      </w:r>
      <w:proofErr w:type="spellEnd"/>
      <w:r w:rsidRPr="00D473A6">
        <w:rPr>
          <w:b/>
          <w:bCs/>
        </w:rPr>
        <w:t xml:space="preserve"> configurations configured to the UE </w:t>
      </w:r>
      <w:r w:rsidR="264B0CC7" w:rsidRPr="00D473A6">
        <w:rPr>
          <w:b/>
          <w:bCs/>
        </w:rPr>
        <w:t xml:space="preserve">is not </w:t>
      </w:r>
      <w:r w:rsidR="00896B69" w:rsidRPr="00D473A6">
        <w:rPr>
          <w:b/>
          <w:bCs/>
        </w:rPr>
        <w:t>exceeded</w:t>
      </w:r>
      <w:r w:rsidR="264B0CC7" w:rsidRPr="00D473A6">
        <w:rPr>
          <w:b/>
          <w:bCs/>
        </w:rPr>
        <w:t xml:space="preserve">. </w:t>
      </w:r>
    </w:p>
    <w:p w14:paraId="72030D5C" w14:textId="2B7073DD" w:rsidR="00BB2A11" w:rsidRDefault="00BB2A11" w:rsidP="00617A14">
      <w:pPr>
        <w:jc w:val="both"/>
      </w:pPr>
      <w:r>
        <w:t xml:space="preserve">Currently, the maximum number of simultaneous application layer measurement configurations is equal 16. In context of DC, it may be worth understanding </w:t>
      </w:r>
      <w:r w:rsidR="00C72B53">
        <w:t xml:space="preserve">whether the </w:t>
      </w:r>
      <w:r>
        <w:t xml:space="preserve">requirements </w:t>
      </w:r>
      <w:r w:rsidR="00C72B53">
        <w:t xml:space="preserve">to schedule simultaneous </w:t>
      </w:r>
      <w:proofErr w:type="spellStart"/>
      <w:r w:rsidR="00C72B53">
        <w:t>QoE</w:t>
      </w:r>
      <w:proofErr w:type="spellEnd"/>
      <w:r w:rsidR="00C72B53">
        <w:t xml:space="preserve"> configurations increase </w:t>
      </w:r>
      <w:r>
        <w:t>and</w:t>
      </w:r>
      <w:r w:rsidR="00C72B53">
        <w:t xml:space="preserve"> whether there are</w:t>
      </w:r>
      <w:r>
        <w:t xml:space="preserve"> potential</w:t>
      </w:r>
      <w:r w:rsidR="00C72B53">
        <w:t>ly new</w:t>
      </w:r>
      <w:r>
        <w:t xml:space="preserve"> UE constrains that may result from the need to extend memory requirements. </w:t>
      </w:r>
      <w:r w:rsidR="00C72B53">
        <w:t xml:space="preserve">RAN2 has already noted there may be a need to extend the UE minimal memory requirement, though it </w:t>
      </w:r>
      <w:r w:rsidR="00CD5E48">
        <w:t>has been</w:t>
      </w:r>
      <w:r w:rsidR="00C72B53">
        <w:t xml:space="preserve"> motivated by the UE support for the new service (MBS) and in additional RRC state (IDLE).</w:t>
      </w:r>
      <w:r w:rsidR="00C859D2">
        <w:t xml:space="preserve"> The new service and longer involvement in </w:t>
      </w:r>
      <w:proofErr w:type="spellStart"/>
      <w:r w:rsidR="00C859D2">
        <w:t>QoE</w:t>
      </w:r>
      <w:proofErr w:type="spellEnd"/>
      <w:r w:rsidR="00C859D2">
        <w:t xml:space="preserve"> session (while staying in RRC IDLE)</w:t>
      </w:r>
      <w:r w:rsidR="00C72B53">
        <w:t xml:space="preserve"> </w:t>
      </w:r>
      <w:r w:rsidR="00BC1938">
        <w:t xml:space="preserve">may </w:t>
      </w:r>
      <w:r w:rsidR="00204AEA">
        <w:t xml:space="preserve">occupy or exceed </w:t>
      </w:r>
      <w:r w:rsidR="00B77CF3">
        <w:t xml:space="preserve">the reserved </w:t>
      </w:r>
      <w:r w:rsidR="008504B8">
        <w:t>UE memory for b</w:t>
      </w:r>
      <w:r w:rsidR="00B77CF3">
        <w:t>uffer</w:t>
      </w:r>
      <w:r w:rsidR="008504B8">
        <w:t xml:space="preserve">ing </w:t>
      </w:r>
      <w:proofErr w:type="spellStart"/>
      <w:r w:rsidR="008504B8">
        <w:t>QoE</w:t>
      </w:r>
      <w:proofErr w:type="spellEnd"/>
      <w:r w:rsidR="008504B8">
        <w:t xml:space="preserve"> data</w:t>
      </w:r>
      <w:r w:rsidR="006E3F77">
        <w:t xml:space="preserve">. </w:t>
      </w:r>
      <w:r>
        <w:t>Therefore, we propose:</w:t>
      </w:r>
    </w:p>
    <w:p w14:paraId="2EAAC385" w14:textId="206A4877" w:rsidR="00D86C8C" w:rsidRPr="000C1916" w:rsidRDefault="00D86C8C" w:rsidP="00617A14">
      <w:pPr>
        <w:jc w:val="both"/>
        <w:rPr>
          <w:b/>
          <w:bCs/>
        </w:rPr>
      </w:pPr>
      <w:r w:rsidRPr="000C1916">
        <w:rPr>
          <w:b/>
          <w:bCs/>
        </w:rPr>
        <w:t xml:space="preserve">Proposal 3: </w:t>
      </w:r>
      <w:r w:rsidR="00BB2A11" w:rsidRPr="000C1916">
        <w:rPr>
          <w:b/>
          <w:bCs/>
        </w:rPr>
        <w:t>RAN2 discuss whether the UE’s maximum number of application layer measurement configurations (i.e., 16) needs extension for DC.</w:t>
      </w:r>
    </w:p>
    <w:p w14:paraId="78EB4DA7" w14:textId="58C2CA47" w:rsidR="007677A8" w:rsidRDefault="007677A8" w:rsidP="007677A8">
      <w:pPr>
        <w:pStyle w:val="Heading2"/>
      </w:pPr>
      <w:r>
        <w:rPr>
          <w:lang w:eastAsia="zh-CN"/>
        </w:rPr>
        <w:t>2.2</w:t>
      </w:r>
      <w:r>
        <w:rPr>
          <w:lang w:eastAsia="zh-CN"/>
        </w:rPr>
        <w:tab/>
      </w:r>
      <w:proofErr w:type="spellStart"/>
      <w:r>
        <w:rPr>
          <w:lang w:eastAsia="zh-CN"/>
        </w:rPr>
        <w:t>QoE</w:t>
      </w:r>
      <w:proofErr w:type="spellEnd"/>
      <w:r>
        <w:rPr>
          <w:lang w:eastAsia="zh-CN"/>
        </w:rPr>
        <w:t xml:space="preserve"> measurement reporting </w:t>
      </w:r>
    </w:p>
    <w:p w14:paraId="69618927" w14:textId="0DB02D6D" w:rsidR="00141063" w:rsidRPr="00FA1048" w:rsidRDefault="00515A3E" w:rsidP="007F6989">
      <w:pPr>
        <w:overflowPunct w:val="0"/>
        <w:autoSpaceDE w:val="0"/>
        <w:autoSpaceDN w:val="0"/>
        <w:adjustRightInd w:val="0"/>
        <w:spacing w:after="0"/>
        <w:textAlignment w:val="baseline"/>
        <w:rPr>
          <w:sz w:val="18"/>
          <w:szCs w:val="18"/>
        </w:rPr>
      </w:pPr>
      <w:r>
        <w:t>W</w:t>
      </w:r>
      <w:r w:rsidR="00FC25B7">
        <w:t xml:space="preserve">hen it comes to </w:t>
      </w:r>
      <w:proofErr w:type="spellStart"/>
      <w:r w:rsidR="00FC25B7" w:rsidRPr="00515A3E">
        <w:t>QoE</w:t>
      </w:r>
      <w:proofErr w:type="spellEnd"/>
      <w:r w:rsidR="00FC25B7" w:rsidRPr="00515A3E">
        <w:t xml:space="preserve"> reporting,</w:t>
      </w:r>
      <w:r w:rsidR="00FC25B7">
        <w:t xml:space="preserve"> </w:t>
      </w:r>
      <w:r w:rsidR="00B53FE3">
        <w:rPr>
          <w:lang w:val="en-US"/>
        </w:rPr>
        <w:t xml:space="preserve">the RRC message for </w:t>
      </w:r>
      <w:proofErr w:type="spellStart"/>
      <w:r w:rsidR="00B53FE3">
        <w:rPr>
          <w:lang w:val="en-US"/>
        </w:rPr>
        <w:t>QoE</w:t>
      </w:r>
      <w:proofErr w:type="spellEnd"/>
      <w:r w:rsidR="00B53FE3">
        <w:rPr>
          <w:lang w:val="en-US"/>
        </w:rPr>
        <w:t xml:space="preserve"> reporting (</w:t>
      </w:r>
      <w:proofErr w:type="spellStart"/>
      <w:r w:rsidR="00B53FE3">
        <w:rPr>
          <w:lang w:val="en-US"/>
        </w:rPr>
        <w:t>MeasurementReportAppLayer</w:t>
      </w:r>
      <w:proofErr w:type="spellEnd"/>
      <w:r w:rsidR="00B53FE3">
        <w:rPr>
          <w:lang w:val="en-US"/>
        </w:rPr>
        <w:t xml:space="preserve">) is possible to be transmitted with a lower priority than other SRBs used for regular radio measurements reporting. In </w:t>
      </w:r>
      <w:r>
        <w:t>Rel-17</w:t>
      </w:r>
      <w:r w:rsidR="00B53FE3">
        <w:t xml:space="preserve">, for standalone deployment it is </w:t>
      </w:r>
      <w:r w:rsidR="00FC25B7">
        <w:t>supported over SRB4</w:t>
      </w:r>
      <w:r w:rsidR="007F6989">
        <w:t>.</w:t>
      </w:r>
      <w:r>
        <w:t xml:space="preserve"> </w:t>
      </w:r>
      <w:r w:rsidR="00141063" w:rsidRPr="00B61EF1">
        <w:t xml:space="preserve">If SRB4 is not configured, the </w:t>
      </w:r>
      <w:proofErr w:type="spellStart"/>
      <w:r w:rsidR="00141063" w:rsidRPr="00B61EF1">
        <w:t>QoE</w:t>
      </w:r>
      <w:proofErr w:type="spellEnd"/>
      <w:r w:rsidR="00141063" w:rsidRPr="00B61EF1">
        <w:t xml:space="preserve"> Reports can’t be transferred to </w:t>
      </w:r>
      <w:r w:rsidR="00141063">
        <w:t xml:space="preserve">the </w:t>
      </w:r>
      <w:r w:rsidR="00141063" w:rsidRPr="00B61EF1">
        <w:t>Network</w:t>
      </w:r>
      <w:r w:rsidR="00141063">
        <w:t>. D</w:t>
      </w:r>
      <w:r w:rsidR="007F6989">
        <w:t xml:space="preserve">ual </w:t>
      </w:r>
      <w:r w:rsidR="00141063">
        <w:t>C</w:t>
      </w:r>
      <w:r w:rsidR="007F6989">
        <w:t>onnectivity</w:t>
      </w:r>
      <w:r w:rsidR="00141063">
        <w:t xml:space="preserve"> enables to overcome this shortcoming and facilitate the reporting continuity</w:t>
      </w:r>
      <w:r w:rsidR="00F419A6">
        <w:t xml:space="preserve"> over the SN leg. </w:t>
      </w:r>
    </w:p>
    <w:p w14:paraId="1AA1B363" w14:textId="2023CD5E" w:rsidR="007F6989" w:rsidRDefault="00B53FE3" w:rsidP="00826669">
      <w:pPr>
        <w:jc w:val="both"/>
        <w:rPr>
          <w:lang w:val="en-US"/>
        </w:rPr>
      </w:pPr>
      <w:r>
        <w:rPr>
          <w:lang w:val="en-US"/>
        </w:rPr>
        <w:t>For Rel-18</w:t>
      </w:r>
      <w:r w:rsidR="007F6989">
        <w:rPr>
          <w:lang w:val="en-US"/>
        </w:rPr>
        <w:t>, RAN</w:t>
      </w:r>
      <w:r w:rsidR="003268C3">
        <w:rPr>
          <w:lang w:val="en-US"/>
        </w:rPr>
        <w:t>2</w:t>
      </w:r>
      <w:r w:rsidR="007F6989">
        <w:rPr>
          <w:lang w:val="en-US"/>
        </w:rPr>
        <w:t xml:space="preserve"> agreed: </w:t>
      </w:r>
    </w:p>
    <w:p w14:paraId="583AFE67" w14:textId="77777777" w:rsidR="007F6989" w:rsidRPr="00D04447" w:rsidRDefault="007F6989" w:rsidP="007F6989">
      <w:pPr>
        <w:pStyle w:val="Agreement"/>
        <w:pBdr>
          <w:top w:val="single" w:sz="4" w:space="1" w:color="auto"/>
          <w:left w:val="single" w:sz="4" w:space="4" w:color="auto"/>
          <w:bottom w:val="single" w:sz="4" w:space="1" w:color="auto"/>
          <w:right w:val="single" w:sz="4" w:space="4" w:color="auto"/>
        </w:pBdr>
      </w:pPr>
      <w:r>
        <w:t xml:space="preserve">Use SRB4 as baseline for Rel-18 </w:t>
      </w:r>
      <w:proofErr w:type="spellStart"/>
      <w:r>
        <w:t>QoE</w:t>
      </w:r>
      <w:proofErr w:type="spellEnd"/>
      <w:r>
        <w:t xml:space="preserve">. FFS how we can send </w:t>
      </w:r>
      <w:proofErr w:type="spellStart"/>
      <w:r>
        <w:t>QoE</w:t>
      </w:r>
      <w:proofErr w:type="spellEnd"/>
      <w:r>
        <w:t xml:space="preserve"> reports towards SN (</w:t>
      </w:r>
      <w:proofErr w:type="gramStart"/>
      <w:r>
        <w:t>e.g.</w:t>
      </w:r>
      <w:proofErr w:type="gramEnd"/>
      <w:r>
        <w:t xml:space="preserve"> only SRB4, define new SRB, reuse SRB3, split SRB). Discuss details in the next meeting.</w:t>
      </w:r>
    </w:p>
    <w:p w14:paraId="21947AE2" w14:textId="77777777" w:rsidR="007F6989" w:rsidRDefault="007F6989" w:rsidP="00826669">
      <w:pPr>
        <w:jc w:val="both"/>
        <w:rPr>
          <w:lang w:val="en-US"/>
        </w:rPr>
      </w:pPr>
    </w:p>
    <w:p w14:paraId="1B59CE44" w14:textId="16C5858C" w:rsidR="00654FE7" w:rsidRDefault="00654FE7" w:rsidP="00654FE7">
      <w:pPr>
        <w:spacing w:after="0"/>
        <w:rPr>
          <w:rFonts w:eastAsia="Times New Roman"/>
          <w:lang w:val="en-US"/>
        </w:rPr>
      </w:pPr>
      <w:r w:rsidRPr="00654FE7">
        <w:rPr>
          <w:rFonts w:eastAsia="Times New Roman"/>
          <w:lang w:val="en-US"/>
        </w:rPr>
        <w:t xml:space="preserve">For SRB </w:t>
      </w:r>
      <w:r>
        <w:rPr>
          <w:rFonts w:eastAsia="Times New Roman"/>
          <w:lang w:val="en-US"/>
        </w:rPr>
        <w:t xml:space="preserve">selection </w:t>
      </w:r>
      <w:r w:rsidRPr="00654FE7">
        <w:rPr>
          <w:rFonts w:eastAsia="Times New Roman"/>
          <w:lang w:val="en-US"/>
        </w:rPr>
        <w:t xml:space="preserve">for SN reporting, </w:t>
      </w:r>
      <w:r>
        <w:rPr>
          <w:rFonts w:eastAsia="Times New Roman"/>
          <w:lang w:val="en-US"/>
        </w:rPr>
        <w:t>the agreement exemplifies four</w:t>
      </w:r>
      <w:r w:rsidRPr="00654FE7">
        <w:rPr>
          <w:rFonts w:eastAsia="Times New Roman"/>
          <w:lang w:val="en-US"/>
        </w:rPr>
        <w:t xml:space="preserve"> options:</w:t>
      </w:r>
    </w:p>
    <w:p w14:paraId="21FA0B6B" w14:textId="77777777" w:rsidR="00654FE7" w:rsidRPr="00654FE7" w:rsidRDefault="00654FE7" w:rsidP="00654FE7">
      <w:pPr>
        <w:spacing w:after="0"/>
        <w:rPr>
          <w:rFonts w:eastAsia="Times New Roman"/>
          <w:lang w:val="en-US"/>
        </w:rPr>
      </w:pPr>
    </w:p>
    <w:p w14:paraId="5F4AD228" w14:textId="52F09664" w:rsidR="00654FE7" w:rsidRP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w:t>
      </w:r>
      <w:r w:rsidRPr="00654FE7">
        <w:rPr>
          <w:rFonts w:ascii="Times New Roman" w:hAnsi="Times New Roman"/>
          <w:sz w:val="20"/>
          <w:szCs w:val="20"/>
        </w:rPr>
        <w:t xml:space="preserve">1: </w:t>
      </w:r>
      <w:r>
        <w:rPr>
          <w:rFonts w:ascii="Times New Roman" w:hAnsi="Times New Roman"/>
          <w:sz w:val="20"/>
          <w:szCs w:val="20"/>
        </w:rPr>
        <w:t>reuse SRB3</w:t>
      </w:r>
    </w:p>
    <w:p w14:paraId="643CC5C0" w14:textId="067FD1A7" w:rsidR="00654FE7" w:rsidRDefault="00654FE7" w:rsidP="00654FE7">
      <w:pPr>
        <w:pStyle w:val="ListParagraph"/>
        <w:numPr>
          <w:ilvl w:val="0"/>
          <w:numId w:val="12"/>
        </w:numPr>
        <w:rPr>
          <w:rFonts w:ascii="Times New Roman" w:hAnsi="Times New Roman"/>
          <w:sz w:val="20"/>
          <w:szCs w:val="20"/>
        </w:rPr>
      </w:pPr>
      <w:r>
        <w:rPr>
          <w:rFonts w:ascii="Times New Roman" w:hAnsi="Times New Roman"/>
          <w:sz w:val="20"/>
          <w:szCs w:val="20"/>
        </w:rPr>
        <w:t xml:space="preserve">Option 2: </w:t>
      </w:r>
      <w:r w:rsidRPr="00654FE7">
        <w:rPr>
          <w:rFonts w:ascii="Times New Roman" w:hAnsi="Times New Roman"/>
          <w:sz w:val="20"/>
          <w:szCs w:val="20"/>
        </w:rPr>
        <w:t xml:space="preserve">SRB4 (the same message </w:t>
      </w:r>
      <w:r>
        <w:rPr>
          <w:rFonts w:ascii="Times New Roman" w:hAnsi="Times New Roman"/>
          <w:sz w:val="20"/>
          <w:szCs w:val="20"/>
        </w:rPr>
        <w:t xml:space="preserve">can be </w:t>
      </w:r>
      <w:r w:rsidR="00026298">
        <w:rPr>
          <w:rFonts w:ascii="Times New Roman" w:hAnsi="Times New Roman"/>
          <w:sz w:val="20"/>
          <w:szCs w:val="20"/>
        </w:rPr>
        <w:t xml:space="preserve">used </w:t>
      </w:r>
      <w:r>
        <w:rPr>
          <w:rFonts w:ascii="Times New Roman" w:hAnsi="Times New Roman"/>
          <w:sz w:val="20"/>
          <w:szCs w:val="20"/>
        </w:rPr>
        <w:t>for</w:t>
      </w:r>
      <w:r w:rsidRPr="00654FE7">
        <w:rPr>
          <w:rFonts w:ascii="Times New Roman" w:hAnsi="Times New Roman"/>
          <w:sz w:val="20"/>
          <w:szCs w:val="20"/>
        </w:rPr>
        <w:t xml:space="preserve"> transfer to </w:t>
      </w:r>
      <w:r>
        <w:rPr>
          <w:rFonts w:ascii="Times New Roman" w:hAnsi="Times New Roman"/>
          <w:sz w:val="20"/>
          <w:szCs w:val="20"/>
        </w:rPr>
        <w:t xml:space="preserve">the MN and </w:t>
      </w:r>
      <w:r w:rsidRPr="00654FE7">
        <w:rPr>
          <w:rFonts w:ascii="Times New Roman" w:hAnsi="Times New Roman"/>
          <w:sz w:val="20"/>
          <w:szCs w:val="20"/>
        </w:rPr>
        <w:t>the SN)</w:t>
      </w:r>
    </w:p>
    <w:p w14:paraId="50BE83B8" w14:textId="419A68B6" w:rsid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3</w:t>
      </w:r>
      <w:r w:rsidRPr="00654FE7">
        <w:rPr>
          <w:rFonts w:ascii="Times New Roman" w:hAnsi="Times New Roman"/>
          <w:sz w:val="20"/>
          <w:szCs w:val="20"/>
        </w:rPr>
        <w:t>: new SRB5 (corresponding to SRB4 in MN)</w:t>
      </w:r>
    </w:p>
    <w:p w14:paraId="794B0E00" w14:textId="23ED387A" w:rsidR="00654FE7" w:rsidRPr="00654FE7" w:rsidRDefault="00654FE7" w:rsidP="00654FE7">
      <w:pPr>
        <w:pStyle w:val="ListParagraph"/>
        <w:numPr>
          <w:ilvl w:val="0"/>
          <w:numId w:val="12"/>
        </w:numPr>
        <w:rPr>
          <w:rFonts w:ascii="Times New Roman" w:hAnsi="Times New Roman"/>
          <w:sz w:val="20"/>
          <w:szCs w:val="20"/>
        </w:rPr>
      </w:pPr>
      <w:r w:rsidRPr="00654FE7">
        <w:rPr>
          <w:rFonts w:ascii="Times New Roman" w:hAnsi="Times New Roman"/>
          <w:sz w:val="20"/>
          <w:szCs w:val="20"/>
        </w:rPr>
        <w:t>Option</w:t>
      </w:r>
      <w:r>
        <w:rPr>
          <w:rFonts w:ascii="Times New Roman" w:hAnsi="Times New Roman"/>
          <w:sz w:val="20"/>
          <w:szCs w:val="20"/>
        </w:rPr>
        <w:t xml:space="preserve"> 4</w:t>
      </w:r>
      <w:r w:rsidRPr="00654FE7">
        <w:rPr>
          <w:rFonts w:ascii="Times New Roman" w:hAnsi="Times New Roman"/>
          <w:sz w:val="20"/>
          <w:szCs w:val="20"/>
        </w:rPr>
        <w:t xml:space="preserve">: Split SRB4 </w:t>
      </w:r>
    </w:p>
    <w:p w14:paraId="4F650F62" w14:textId="719B7C25" w:rsidR="00654FE7" w:rsidRDefault="00654FE7" w:rsidP="00654FE7">
      <w:pPr>
        <w:rPr>
          <w:rFonts w:eastAsiaTheme="minorHAnsi"/>
          <w:lang w:val="en-US"/>
        </w:rPr>
      </w:pPr>
      <w:r>
        <w:rPr>
          <w:lang w:val="en-US"/>
        </w:rPr>
        <w:t xml:space="preserve">Since the SRBs handling </w:t>
      </w:r>
      <w:r w:rsidR="000761B8">
        <w:rPr>
          <w:lang w:val="en-US"/>
        </w:rPr>
        <w:t>signaling</w:t>
      </w:r>
      <w:r w:rsidR="00DE1CE1">
        <w:rPr>
          <w:lang w:val="en-US"/>
        </w:rPr>
        <w:t xml:space="preserve"> </w:t>
      </w:r>
      <w:r>
        <w:rPr>
          <w:lang w:val="en-US"/>
        </w:rPr>
        <w:t>between the UE and the NW</w:t>
      </w:r>
      <w:r w:rsidR="000761B8">
        <w:rPr>
          <w:lang w:val="en-US"/>
        </w:rPr>
        <w:t>, the</w:t>
      </w:r>
      <w:r>
        <w:rPr>
          <w:lang w:val="en-US"/>
        </w:rPr>
        <w:t xml:space="preserve"> priority of SRB for </w:t>
      </w:r>
      <w:proofErr w:type="spellStart"/>
      <w:r>
        <w:rPr>
          <w:lang w:val="en-US"/>
        </w:rPr>
        <w:t>QoE</w:t>
      </w:r>
      <w:proofErr w:type="spellEnd"/>
      <w:r>
        <w:rPr>
          <w:lang w:val="en-US"/>
        </w:rPr>
        <w:t xml:space="preserve"> reporting should be lower than other SRB, we think SRB3 may not be suitable for </w:t>
      </w:r>
      <w:proofErr w:type="spellStart"/>
      <w:r>
        <w:rPr>
          <w:lang w:val="en-US"/>
        </w:rPr>
        <w:t>QoE</w:t>
      </w:r>
      <w:proofErr w:type="spellEnd"/>
      <w:r>
        <w:rPr>
          <w:lang w:val="en-US"/>
        </w:rPr>
        <w:t xml:space="preserve"> reporting. Both Option 2 and Option 3 are feasible, though Option 2 seems to risk error-prone </w:t>
      </w:r>
      <w:r w:rsidR="00BA231E">
        <w:rPr>
          <w:lang w:val="en-US"/>
        </w:rPr>
        <w:t>situations</w:t>
      </w:r>
      <w:r>
        <w:rPr>
          <w:lang w:val="en-US"/>
        </w:rPr>
        <w:t xml:space="preserve"> with handling two nodes by the same SRB</w:t>
      </w:r>
      <w:r w:rsidR="00244AA6">
        <w:rPr>
          <w:lang w:val="en-US"/>
        </w:rPr>
        <w:t xml:space="preserve"> id</w:t>
      </w:r>
      <w:r>
        <w:rPr>
          <w:lang w:val="en-US"/>
        </w:rPr>
        <w:t>. Option 4 have most impact to specification</w:t>
      </w:r>
      <w:r w:rsidR="00A95A1D">
        <w:rPr>
          <w:lang w:val="en-US"/>
        </w:rPr>
        <w:t xml:space="preserve">, </w:t>
      </w:r>
      <w:r>
        <w:rPr>
          <w:lang w:val="en-US"/>
        </w:rPr>
        <w:t xml:space="preserve">and it has the implication that the SRB PDCP is may be in MN which means the </w:t>
      </w:r>
      <w:proofErr w:type="spellStart"/>
      <w:r>
        <w:rPr>
          <w:lang w:val="en-US"/>
        </w:rPr>
        <w:t>QoE</w:t>
      </w:r>
      <w:proofErr w:type="spellEnd"/>
      <w:r>
        <w:rPr>
          <w:lang w:val="en-US"/>
        </w:rPr>
        <w:t xml:space="preserve"> report should be delivered to the MN PDCP first and then forwarded onwards. Therefore, we prefer having a simple solution and agree to use new SRB5 for reporting </w:t>
      </w:r>
      <w:proofErr w:type="spellStart"/>
      <w:r>
        <w:rPr>
          <w:lang w:val="en-US"/>
        </w:rPr>
        <w:t>QoE</w:t>
      </w:r>
      <w:proofErr w:type="spellEnd"/>
      <w:r>
        <w:rPr>
          <w:lang w:val="en-US"/>
        </w:rPr>
        <w:t xml:space="preserve"> </w:t>
      </w:r>
      <w:r w:rsidR="004537A2">
        <w:rPr>
          <w:lang w:val="en-US"/>
        </w:rPr>
        <w:t>t</w:t>
      </w:r>
      <w:r>
        <w:rPr>
          <w:lang w:val="en-US"/>
        </w:rPr>
        <w:t>o SN:</w:t>
      </w:r>
    </w:p>
    <w:p w14:paraId="2FFE7F13" w14:textId="447CFA29" w:rsidR="00654FE7" w:rsidRPr="00827CB6" w:rsidRDefault="000F5692" w:rsidP="00654FE7">
      <w:pPr>
        <w:rPr>
          <w:b/>
          <w:bCs/>
        </w:rPr>
      </w:pPr>
      <w:r w:rsidRPr="00827CB6">
        <w:rPr>
          <w:b/>
          <w:bCs/>
        </w:rPr>
        <w:t xml:space="preserve">Proposal </w:t>
      </w:r>
      <w:r w:rsidR="00BB2A11" w:rsidRPr="00827CB6">
        <w:rPr>
          <w:b/>
          <w:bCs/>
        </w:rPr>
        <w:t>4</w:t>
      </w:r>
      <w:r w:rsidRPr="00827CB6">
        <w:rPr>
          <w:b/>
          <w:bCs/>
        </w:rPr>
        <w:t xml:space="preserve">: </w:t>
      </w:r>
      <w:r w:rsidR="00654FE7" w:rsidRPr="00827CB6">
        <w:rPr>
          <w:b/>
          <w:bCs/>
        </w:rPr>
        <w:t xml:space="preserve">In DC, </w:t>
      </w:r>
      <w:proofErr w:type="spellStart"/>
      <w:r w:rsidR="009A350F" w:rsidRPr="00827CB6">
        <w:rPr>
          <w:b/>
          <w:bCs/>
        </w:rPr>
        <w:t>MeasReportAppLayer</w:t>
      </w:r>
      <w:proofErr w:type="spellEnd"/>
      <w:r w:rsidR="009A350F" w:rsidRPr="00827CB6">
        <w:rPr>
          <w:b/>
          <w:bCs/>
        </w:rPr>
        <w:t xml:space="preserve"> over </w:t>
      </w:r>
      <w:r w:rsidR="00654FE7" w:rsidRPr="00827CB6">
        <w:rPr>
          <w:b/>
          <w:bCs/>
        </w:rPr>
        <w:t xml:space="preserve">SRB4 is a default choice to transfer the </w:t>
      </w:r>
      <w:proofErr w:type="spellStart"/>
      <w:r w:rsidR="00654FE7" w:rsidRPr="00827CB6">
        <w:rPr>
          <w:b/>
          <w:bCs/>
        </w:rPr>
        <w:t>QoE</w:t>
      </w:r>
      <w:proofErr w:type="spellEnd"/>
      <w:r w:rsidR="00654FE7" w:rsidRPr="00827CB6">
        <w:rPr>
          <w:b/>
          <w:bCs/>
        </w:rPr>
        <w:t xml:space="preserve"> reports (i.e., to the MN-triggered configurations). </w:t>
      </w:r>
    </w:p>
    <w:p w14:paraId="287030AD" w14:textId="77777777" w:rsidR="00C72B53" w:rsidRPr="00827CB6" w:rsidRDefault="00C72B53" w:rsidP="00C72B53">
      <w:pPr>
        <w:rPr>
          <w:b/>
          <w:bCs/>
        </w:rPr>
      </w:pPr>
      <w:r w:rsidRPr="00827CB6">
        <w:rPr>
          <w:b/>
          <w:bCs/>
        </w:rPr>
        <w:lastRenderedPageBreak/>
        <w:t xml:space="preserve">Proposal 5: SRB5 can be used to transfer the </w:t>
      </w:r>
      <w:proofErr w:type="spellStart"/>
      <w:r w:rsidRPr="00827CB6">
        <w:rPr>
          <w:b/>
          <w:bCs/>
        </w:rPr>
        <w:t>QoE</w:t>
      </w:r>
      <w:proofErr w:type="spellEnd"/>
      <w:r w:rsidRPr="00827CB6">
        <w:rPr>
          <w:b/>
          <w:bCs/>
        </w:rPr>
        <w:t xml:space="preserve"> reports to the SN (e.g., to the SN-triggered configurations or due to MN overload). </w:t>
      </w:r>
    </w:p>
    <w:p w14:paraId="743AD18D" w14:textId="709AA438" w:rsidR="00654FE7" w:rsidRDefault="00654FE7" w:rsidP="00654FE7">
      <w:r>
        <w:t xml:space="preserve">It’s worth noting that RAN3 agreement allows changing the reporting </w:t>
      </w:r>
      <w:r w:rsidR="00026298">
        <w:t xml:space="preserve">leg </w:t>
      </w:r>
      <w:r>
        <w:t xml:space="preserve">during the ongoing </w:t>
      </w:r>
      <w:proofErr w:type="spellStart"/>
      <w:r>
        <w:t>QoE</w:t>
      </w:r>
      <w:proofErr w:type="spellEnd"/>
      <w:r>
        <w:t xml:space="preserve"> session:</w:t>
      </w:r>
    </w:p>
    <w:p w14:paraId="144210BD" w14:textId="09B86DF8" w:rsidR="00617A14" w:rsidRPr="00617A14" w:rsidRDefault="00654FE7" w:rsidP="00617A14">
      <w:pPr>
        <w:pStyle w:val="ListParagraph"/>
        <w:numPr>
          <w:ilvl w:val="0"/>
          <w:numId w:val="19"/>
        </w:numPr>
        <w:pBdr>
          <w:top w:val="single" w:sz="4" w:space="1" w:color="auto"/>
          <w:left w:val="single" w:sz="4" w:space="4" w:color="auto"/>
          <w:bottom w:val="single" w:sz="4" w:space="1" w:color="auto"/>
          <w:right w:val="single" w:sz="4" w:space="4" w:color="auto"/>
        </w:pBdr>
        <w:overflowPunct w:val="0"/>
        <w:autoSpaceDE w:val="0"/>
        <w:autoSpaceDN w:val="0"/>
        <w:spacing w:before="120" w:after="0" w:line="252" w:lineRule="auto"/>
        <w:rPr>
          <w:rFonts w:cs="Calibri"/>
          <w:b/>
          <w:bCs/>
          <w:color w:val="00B050"/>
          <w:sz w:val="20"/>
          <w:szCs w:val="20"/>
          <w:lang w:eastAsia="zh-CN"/>
        </w:rPr>
      </w:pPr>
      <w:proofErr w:type="spellStart"/>
      <w:r w:rsidRPr="00654FE7">
        <w:rPr>
          <w:b/>
          <w:bCs/>
          <w:color w:val="1C981C"/>
          <w:sz w:val="20"/>
          <w:szCs w:val="20"/>
          <w:lang w:val="en-US"/>
        </w:rPr>
        <w:t>QoE</w:t>
      </w:r>
      <w:proofErr w:type="spellEnd"/>
      <w:r w:rsidRPr="00654FE7">
        <w:rPr>
          <w:b/>
          <w:bCs/>
          <w:color w:val="1C981C"/>
          <w:sz w:val="20"/>
          <w:szCs w:val="20"/>
          <w:lang w:val="en-US"/>
        </w:rPr>
        <w:t xml:space="preserve"> reports can be transmitted to either MN or SN and the reporting leg (MCG or SCG) can be changed during the application session.</w:t>
      </w:r>
    </w:p>
    <w:p w14:paraId="615EBA9F" w14:textId="77777777" w:rsidR="00654FE7" w:rsidRDefault="00654FE7" w:rsidP="00654FE7"/>
    <w:p w14:paraId="6C871DFF" w14:textId="29FF11B1" w:rsidR="00654FE7" w:rsidRDefault="00654FE7" w:rsidP="00654FE7">
      <w:pPr>
        <w:rPr>
          <w:lang w:val="en-US" w:eastAsia="en-GB"/>
        </w:rPr>
      </w:pPr>
      <w:r>
        <w:t>Changing the reporting leg might be</w:t>
      </w:r>
      <w:r>
        <w:rPr>
          <w:lang w:val="en-US"/>
        </w:rPr>
        <w:t xml:space="preserve"> reasonable if the MN gets overloaded. This is helpful for UL load balance and at the same time for ensuring reporting continuity. However, detailed conditions require further studies and better understanding operators’ requirements:</w:t>
      </w:r>
    </w:p>
    <w:p w14:paraId="682CC72D" w14:textId="08167683" w:rsidR="00654FE7" w:rsidRPr="0059190F" w:rsidRDefault="00654FE7" w:rsidP="00654FE7">
      <w:pPr>
        <w:rPr>
          <w:b/>
          <w:bCs/>
        </w:rPr>
      </w:pPr>
      <w:r w:rsidRPr="0059190F">
        <w:rPr>
          <w:b/>
          <w:bCs/>
        </w:rPr>
        <w:t xml:space="preserve"> Proposal </w:t>
      </w:r>
      <w:r w:rsidR="00BB2A11" w:rsidRPr="0059190F">
        <w:rPr>
          <w:b/>
          <w:bCs/>
        </w:rPr>
        <w:t>6</w:t>
      </w:r>
      <w:r w:rsidRPr="0059190F">
        <w:rPr>
          <w:b/>
          <w:bCs/>
        </w:rPr>
        <w:t xml:space="preserve">: Handling leg selection for </w:t>
      </w:r>
      <w:proofErr w:type="spellStart"/>
      <w:r w:rsidRPr="0059190F">
        <w:rPr>
          <w:b/>
          <w:bCs/>
        </w:rPr>
        <w:t>QoE</w:t>
      </w:r>
      <w:proofErr w:type="spellEnd"/>
      <w:r w:rsidRPr="0059190F">
        <w:rPr>
          <w:b/>
          <w:bCs/>
        </w:rPr>
        <w:t xml:space="preserve"> reporting is </w:t>
      </w:r>
      <w:r w:rsidR="00D86C8C" w:rsidRPr="0059190F">
        <w:rPr>
          <w:b/>
          <w:bCs/>
        </w:rPr>
        <w:t>under network control</w:t>
      </w:r>
      <w:r w:rsidRPr="0059190F">
        <w:rPr>
          <w:b/>
          <w:bCs/>
        </w:rPr>
        <w:t>.</w:t>
      </w:r>
      <w:r w:rsidR="00D86C8C" w:rsidRPr="0059190F">
        <w:rPr>
          <w:b/>
          <w:bCs/>
        </w:rPr>
        <w:t xml:space="preserve"> Details are FFS.</w:t>
      </w:r>
    </w:p>
    <w:p w14:paraId="189DF5DB" w14:textId="6F3A4CD8" w:rsidR="00654FE7" w:rsidRDefault="00654FE7" w:rsidP="00654FE7">
      <w:pPr>
        <w:jc w:val="both"/>
        <w:rPr>
          <w:lang w:val="en-US"/>
        </w:rPr>
      </w:pPr>
      <w:r>
        <w:rPr>
          <w:lang w:val="en-US"/>
        </w:rPr>
        <w:t xml:space="preserve">For the message selection, from specification point of view, we believe a straightforward solution is to reuse </w:t>
      </w:r>
      <w:proofErr w:type="spellStart"/>
      <w:r>
        <w:rPr>
          <w:lang w:val="en-US"/>
        </w:rPr>
        <w:t>MeasReportAppLayer</w:t>
      </w:r>
      <w:proofErr w:type="spellEnd"/>
      <w:r>
        <w:rPr>
          <w:lang w:val="en-US"/>
        </w:rPr>
        <w:t xml:space="preserve"> message:</w:t>
      </w:r>
    </w:p>
    <w:p w14:paraId="7EED8C7A" w14:textId="3A01F24C" w:rsidR="00654FE7" w:rsidRPr="0059190F" w:rsidRDefault="00654FE7" w:rsidP="00654FE7">
      <w:pPr>
        <w:rPr>
          <w:b/>
          <w:bCs/>
        </w:rPr>
      </w:pPr>
      <w:r w:rsidRPr="0059190F">
        <w:rPr>
          <w:b/>
          <w:bCs/>
        </w:rPr>
        <w:t xml:space="preserve">Proposal </w:t>
      </w:r>
      <w:r w:rsidR="00BB2A11" w:rsidRPr="0059190F">
        <w:rPr>
          <w:b/>
          <w:bCs/>
        </w:rPr>
        <w:t>7</w:t>
      </w:r>
      <w:r w:rsidRPr="0059190F">
        <w:rPr>
          <w:b/>
          <w:bCs/>
        </w:rPr>
        <w:t xml:space="preserve">: The UE sends the </w:t>
      </w:r>
      <w:proofErr w:type="spellStart"/>
      <w:r w:rsidRPr="0059190F">
        <w:rPr>
          <w:b/>
          <w:bCs/>
        </w:rPr>
        <w:t>QoE</w:t>
      </w:r>
      <w:proofErr w:type="spellEnd"/>
      <w:r w:rsidRPr="0059190F">
        <w:rPr>
          <w:b/>
          <w:bCs/>
        </w:rPr>
        <w:t xml:space="preserve"> reports to the SN with </w:t>
      </w:r>
      <w:proofErr w:type="spellStart"/>
      <w:r w:rsidRPr="0059190F">
        <w:rPr>
          <w:b/>
          <w:bCs/>
        </w:rPr>
        <w:t>MeasReportAppLayer</w:t>
      </w:r>
      <w:proofErr w:type="spellEnd"/>
      <w:r w:rsidRPr="0059190F">
        <w:rPr>
          <w:b/>
          <w:bCs/>
        </w:rPr>
        <w:t xml:space="preserve"> message. </w:t>
      </w:r>
    </w:p>
    <w:p w14:paraId="0A484AA1" w14:textId="06ED3CE5" w:rsidR="00FC25B7" w:rsidRDefault="00FC25B7" w:rsidP="00FC25B7">
      <w:pPr>
        <w:pStyle w:val="Heading2"/>
        <w:rPr>
          <w:lang w:eastAsia="zh-CN"/>
        </w:rPr>
      </w:pPr>
      <w:r>
        <w:rPr>
          <w:lang w:eastAsia="zh-CN"/>
        </w:rPr>
        <w:t>2.</w:t>
      </w:r>
      <w:r w:rsidR="00141063">
        <w:rPr>
          <w:lang w:eastAsia="zh-CN"/>
        </w:rPr>
        <w:t>3</w:t>
      </w:r>
      <w:r>
        <w:tab/>
      </w:r>
      <w:proofErr w:type="spellStart"/>
      <w:r>
        <w:rPr>
          <w:lang w:eastAsia="zh-CN"/>
        </w:rPr>
        <w:t>QoE</w:t>
      </w:r>
      <w:proofErr w:type="spellEnd"/>
      <w:r>
        <w:rPr>
          <w:lang w:eastAsia="zh-CN"/>
        </w:rPr>
        <w:t xml:space="preserve"> Pause</w:t>
      </w:r>
    </w:p>
    <w:p w14:paraId="3975ED69" w14:textId="426FB388" w:rsidR="4E7B5166" w:rsidRPr="00A33127" w:rsidRDefault="4E7B5166" w:rsidP="00A33127">
      <w:r w:rsidRPr="00A33127">
        <w:t>To deal with RAN overload</w:t>
      </w:r>
      <w:r w:rsidR="5535E2CD" w:rsidRPr="00A33127">
        <w:t xml:space="preserve">, Rel-17 introduced </w:t>
      </w:r>
      <w:proofErr w:type="spellStart"/>
      <w:r w:rsidR="5535E2CD" w:rsidRPr="00A33127">
        <w:t>QoE</w:t>
      </w:r>
      <w:proofErr w:type="spellEnd"/>
      <w:r w:rsidR="5535E2CD" w:rsidRPr="00A33127">
        <w:t xml:space="preserve"> Pause/Resume mechanism. If the network is overloaded </w:t>
      </w:r>
      <w:r w:rsidR="66E36668" w:rsidRPr="00A33127">
        <w:t>it can u</w:t>
      </w:r>
      <w:r w:rsidR="006C7FBE" w:rsidRPr="00A33127">
        <w:t>se</w:t>
      </w:r>
      <w:r w:rsidR="66E36668" w:rsidRPr="00A33127">
        <w:t xml:space="preserve"> ‘</w:t>
      </w:r>
      <w:proofErr w:type="spellStart"/>
      <w:r w:rsidR="66E36668" w:rsidRPr="00A33127">
        <w:t>pauseReporting</w:t>
      </w:r>
      <w:proofErr w:type="spellEnd"/>
      <w:r w:rsidR="66E36668" w:rsidRPr="00A33127">
        <w:t xml:space="preserve">’ RRC indication to temporarily stop </w:t>
      </w:r>
      <w:proofErr w:type="spellStart"/>
      <w:r w:rsidR="66E36668" w:rsidRPr="00A33127">
        <w:t>QoE</w:t>
      </w:r>
      <w:proofErr w:type="spellEnd"/>
      <w:r w:rsidR="66E36668" w:rsidRPr="00A33127">
        <w:t xml:space="preserve"> reports from being sent from the UE to the network. Handling of the suspended reports relies on buffering in the UE Access Stratum, until the </w:t>
      </w:r>
      <w:proofErr w:type="spellStart"/>
      <w:r w:rsidR="66E36668" w:rsidRPr="00A33127">
        <w:t>gNB</w:t>
      </w:r>
      <w:proofErr w:type="spellEnd"/>
      <w:r w:rsidR="66E36668" w:rsidRPr="00A33127">
        <w:t xml:space="preserve"> resumes the </w:t>
      </w:r>
      <w:proofErr w:type="spellStart"/>
      <w:r w:rsidR="66E36668" w:rsidRPr="00A33127">
        <w:t>QoE</w:t>
      </w:r>
      <w:proofErr w:type="spellEnd"/>
      <w:r w:rsidR="66E36668" w:rsidRPr="00A33127">
        <w:t xml:space="preserve"> reports.</w:t>
      </w:r>
    </w:p>
    <w:p w14:paraId="4DF376F2" w14:textId="5A5F4EA6" w:rsidR="007D44BE" w:rsidRDefault="00867FE6" w:rsidP="00A33127">
      <w:r>
        <w:t>In DC, t</w:t>
      </w:r>
      <w:r w:rsidR="008C6DA5">
        <w:t xml:space="preserve">he temporary suspension of the </w:t>
      </w:r>
      <w:proofErr w:type="spellStart"/>
      <w:r w:rsidR="008C6DA5">
        <w:t>QoE</w:t>
      </w:r>
      <w:proofErr w:type="spellEnd"/>
      <w:r w:rsidR="008C6DA5">
        <w:t xml:space="preserve"> reporting</w:t>
      </w:r>
      <w:r>
        <w:t xml:space="preserve"> may </w:t>
      </w:r>
      <w:r w:rsidR="00C472BD">
        <w:t xml:space="preserve">take different </w:t>
      </w:r>
      <w:r w:rsidR="00E6147B">
        <w:t xml:space="preserve">meaning. </w:t>
      </w:r>
      <w:r w:rsidR="00F36BF9">
        <w:t xml:space="preserve">After configuring the UE to suspend the </w:t>
      </w:r>
      <w:proofErr w:type="spellStart"/>
      <w:r w:rsidR="00F36BF9">
        <w:t>QoE</w:t>
      </w:r>
      <w:proofErr w:type="spellEnd"/>
      <w:r w:rsidR="00F36BF9">
        <w:t xml:space="preserve"> report transmission</w:t>
      </w:r>
      <w:r w:rsidR="00EB25FB">
        <w:t xml:space="preserve">, </w:t>
      </w:r>
      <w:r w:rsidR="00420069">
        <w:t>the UE does not know whether the sus</w:t>
      </w:r>
      <w:r w:rsidR="00F84B07">
        <w:t>pension concern</w:t>
      </w:r>
      <w:r w:rsidR="00026298">
        <w:t>s</w:t>
      </w:r>
      <w:r w:rsidR="00F84B07">
        <w:t xml:space="preserve"> </w:t>
      </w:r>
      <w:r w:rsidR="00EC6A3B">
        <w:t xml:space="preserve">any </w:t>
      </w:r>
      <w:r w:rsidR="002D1595">
        <w:t xml:space="preserve">reporting </w:t>
      </w:r>
      <w:r w:rsidR="009C40CE">
        <w:t xml:space="preserve">or </w:t>
      </w:r>
      <w:r w:rsidR="002D1595">
        <w:t>to MN o</w:t>
      </w:r>
      <w:r w:rsidR="009C40CE">
        <w:t>nly.</w:t>
      </w:r>
      <w:r w:rsidR="002D1595">
        <w:t xml:space="preserve"> </w:t>
      </w:r>
    </w:p>
    <w:p w14:paraId="619F0CC7" w14:textId="60A95CCC" w:rsidR="004D2980" w:rsidRPr="005E4A30" w:rsidRDefault="007D44BE" w:rsidP="00A33127">
      <w:pPr>
        <w:rPr>
          <w:b/>
          <w:bCs/>
        </w:rPr>
      </w:pPr>
      <w:r w:rsidRPr="005E4A30">
        <w:rPr>
          <w:b/>
          <w:bCs/>
        </w:rPr>
        <w:t xml:space="preserve">Observation </w:t>
      </w:r>
      <w:r w:rsidR="00BB2A11" w:rsidRPr="005E4A30">
        <w:rPr>
          <w:b/>
          <w:bCs/>
        </w:rPr>
        <w:t>2</w:t>
      </w:r>
      <w:r w:rsidR="00100594" w:rsidRPr="005E4A30">
        <w:rPr>
          <w:b/>
          <w:bCs/>
        </w:rPr>
        <w:t>: ‘</w:t>
      </w:r>
      <w:proofErr w:type="spellStart"/>
      <w:r w:rsidR="00100594" w:rsidRPr="005E4A30">
        <w:rPr>
          <w:b/>
          <w:bCs/>
        </w:rPr>
        <w:t>pauseReporting</w:t>
      </w:r>
      <w:proofErr w:type="spellEnd"/>
      <w:r w:rsidR="00100594" w:rsidRPr="005E4A30">
        <w:rPr>
          <w:b/>
          <w:bCs/>
        </w:rPr>
        <w:t xml:space="preserve">’ RRC indication </w:t>
      </w:r>
      <w:r w:rsidR="004D2980" w:rsidRPr="005E4A30">
        <w:rPr>
          <w:b/>
          <w:bCs/>
        </w:rPr>
        <w:t xml:space="preserve">from MN </w:t>
      </w:r>
      <w:r w:rsidR="00E21164" w:rsidRPr="005E4A30">
        <w:rPr>
          <w:b/>
          <w:bCs/>
        </w:rPr>
        <w:t xml:space="preserve">does not clarify </w:t>
      </w:r>
      <w:r w:rsidR="00C610C9" w:rsidRPr="005E4A30">
        <w:rPr>
          <w:b/>
          <w:bCs/>
        </w:rPr>
        <w:t xml:space="preserve">whether the UE can </w:t>
      </w:r>
      <w:r w:rsidR="00E010A3" w:rsidRPr="005E4A30">
        <w:rPr>
          <w:b/>
          <w:bCs/>
        </w:rPr>
        <w:t xml:space="preserve">transfer the </w:t>
      </w:r>
      <w:proofErr w:type="spellStart"/>
      <w:r w:rsidR="00E010A3" w:rsidRPr="005E4A30">
        <w:rPr>
          <w:b/>
          <w:bCs/>
        </w:rPr>
        <w:t>QoE</w:t>
      </w:r>
      <w:proofErr w:type="spellEnd"/>
      <w:r w:rsidR="00E010A3" w:rsidRPr="005E4A30">
        <w:rPr>
          <w:b/>
          <w:bCs/>
        </w:rPr>
        <w:t xml:space="preserve"> reports to the SN.</w:t>
      </w:r>
    </w:p>
    <w:p w14:paraId="4FFF3F25" w14:textId="73496470" w:rsidR="008C6DA5" w:rsidRPr="00A33127" w:rsidRDefault="00E6147B" w:rsidP="00A33127">
      <w:r>
        <w:t xml:space="preserve">Since there will be possibility to report to the SN, and Rel-18 aims to </w:t>
      </w:r>
      <w:r w:rsidR="0023333E">
        <w:t>support reporting continuity</w:t>
      </w:r>
      <w:r w:rsidR="00AE6C19">
        <w:t>,</w:t>
      </w:r>
      <w:r w:rsidR="005763B2">
        <w:t xml:space="preserve"> the received </w:t>
      </w:r>
      <w:r w:rsidR="00EF2712">
        <w:t xml:space="preserve">pause indication </w:t>
      </w:r>
      <w:r w:rsidR="00235228">
        <w:t xml:space="preserve">could trigger </w:t>
      </w:r>
      <w:r w:rsidR="00281040">
        <w:t xml:space="preserve">different actions, which are currently </w:t>
      </w:r>
      <w:r w:rsidR="00DE384F">
        <w:t xml:space="preserve">unspecified. </w:t>
      </w:r>
    </w:p>
    <w:p w14:paraId="4D5FD961" w14:textId="1616EDD9" w:rsidR="00FC25B7" w:rsidRPr="005E4A30" w:rsidRDefault="00227635" w:rsidP="008E3ABF">
      <w:pPr>
        <w:spacing w:line="259" w:lineRule="auto"/>
        <w:rPr>
          <w:b/>
          <w:bCs/>
        </w:rPr>
      </w:pPr>
      <w:r w:rsidRPr="005E4A30">
        <w:rPr>
          <w:b/>
          <w:bCs/>
        </w:rPr>
        <w:t xml:space="preserve">Proposal </w:t>
      </w:r>
      <w:r w:rsidR="00BB2A11" w:rsidRPr="005E4A30">
        <w:rPr>
          <w:b/>
          <w:bCs/>
        </w:rPr>
        <w:t>8</w:t>
      </w:r>
      <w:r w:rsidRPr="005E4A30">
        <w:rPr>
          <w:b/>
          <w:bCs/>
        </w:rPr>
        <w:t xml:space="preserve">: Rel-17 Pause mechanism should be </w:t>
      </w:r>
      <w:r w:rsidR="00B356AA" w:rsidRPr="005E4A30">
        <w:rPr>
          <w:b/>
          <w:bCs/>
        </w:rPr>
        <w:t>adopted</w:t>
      </w:r>
      <w:r w:rsidRPr="005E4A30">
        <w:rPr>
          <w:b/>
          <w:bCs/>
        </w:rPr>
        <w:t xml:space="preserve"> to support NR-DC</w:t>
      </w:r>
      <w:r w:rsidR="005C5FF3" w:rsidRPr="005E4A30">
        <w:rPr>
          <w:b/>
          <w:bCs/>
        </w:rPr>
        <w:t>.</w:t>
      </w:r>
      <w:r w:rsidRPr="005E4A30">
        <w:rPr>
          <w:b/>
          <w:bCs/>
        </w:rPr>
        <w:t xml:space="preserve"> </w:t>
      </w:r>
    </w:p>
    <w:p w14:paraId="47180140" w14:textId="49D78979" w:rsidR="008E3ABF" w:rsidRPr="005E4A30" w:rsidRDefault="008E3ABF" w:rsidP="008E3ABF">
      <w:pPr>
        <w:spacing w:line="259" w:lineRule="auto"/>
        <w:rPr>
          <w:b/>
          <w:bCs/>
        </w:rPr>
      </w:pPr>
      <w:r w:rsidRPr="005E4A30">
        <w:rPr>
          <w:b/>
          <w:bCs/>
        </w:rPr>
        <w:t xml:space="preserve">Proposal </w:t>
      </w:r>
      <w:r w:rsidR="00BB2A11" w:rsidRPr="005E4A30">
        <w:rPr>
          <w:b/>
          <w:bCs/>
        </w:rPr>
        <w:t>9</w:t>
      </w:r>
      <w:r w:rsidRPr="005E4A30">
        <w:rPr>
          <w:b/>
          <w:bCs/>
        </w:rPr>
        <w:t xml:space="preserve">: FFS what </w:t>
      </w:r>
      <w:proofErr w:type="spellStart"/>
      <w:r w:rsidRPr="005E4A30">
        <w:rPr>
          <w:b/>
          <w:bCs/>
          <w:lang w:val="en-US"/>
        </w:rPr>
        <w:t>pauseReporting</w:t>
      </w:r>
      <w:proofErr w:type="spellEnd"/>
      <w:r w:rsidRPr="005E4A30">
        <w:rPr>
          <w:b/>
          <w:bCs/>
        </w:rPr>
        <w:t xml:space="preserve"> implies in DC (e.g., if MN sends Pause to suspend reporting to both</w:t>
      </w:r>
      <w:r w:rsidR="006B5069" w:rsidRPr="005E4A30">
        <w:rPr>
          <w:b/>
          <w:bCs/>
        </w:rPr>
        <w:t>:</w:t>
      </w:r>
      <w:r w:rsidRPr="005E4A30">
        <w:rPr>
          <w:b/>
          <w:bCs/>
        </w:rPr>
        <w:t xml:space="preserve"> MN and SN, or to suspend reporting to MN only).</w:t>
      </w:r>
    </w:p>
    <w:p w14:paraId="0D110258" w14:textId="77777777" w:rsidR="00CD4C7B" w:rsidRPr="006E13D1" w:rsidRDefault="00972FD7" w:rsidP="00CD4C7B">
      <w:pPr>
        <w:pStyle w:val="Heading1"/>
      </w:pPr>
      <w:r>
        <w:t>3</w:t>
      </w:r>
      <w:r>
        <w:tab/>
        <w:t>Conclusion</w:t>
      </w:r>
    </w:p>
    <w:p w14:paraId="7E239EE5" w14:textId="13BBC741" w:rsidR="00E01EB3" w:rsidRPr="006E13D1" w:rsidRDefault="00E01EB3" w:rsidP="00E01EB3">
      <w:r>
        <w:t>This document has made the following observations:</w:t>
      </w:r>
    </w:p>
    <w:p w14:paraId="7D9C8B74" w14:textId="77777777" w:rsidR="00E2114B" w:rsidRPr="00C66D8A" w:rsidRDefault="00E2114B" w:rsidP="00E2114B">
      <w:pPr>
        <w:jc w:val="both"/>
        <w:rPr>
          <w:b/>
          <w:bCs/>
        </w:rPr>
      </w:pPr>
      <w:r w:rsidRPr="00C66D8A">
        <w:rPr>
          <w:b/>
          <w:bCs/>
        </w:rPr>
        <w:t xml:space="preserve">Observation 1: SN-triggered </w:t>
      </w:r>
      <w:proofErr w:type="spellStart"/>
      <w:r w:rsidRPr="00C66D8A">
        <w:rPr>
          <w:b/>
          <w:bCs/>
        </w:rPr>
        <w:t>QoE</w:t>
      </w:r>
      <w:proofErr w:type="spellEnd"/>
      <w:r w:rsidRPr="00C66D8A">
        <w:rPr>
          <w:b/>
          <w:bCs/>
        </w:rPr>
        <w:t xml:space="preserve"> configuration requires MN-SN coordination and details are pending RAN3 progress.</w:t>
      </w:r>
    </w:p>
    <w:p w14:paraId="29720864" w14:textId="16B8B6AD" w:rsidR="00E2114B" w:rsidRDefault="00E2114B" w:rsidP="00E2114B">
      <w:pPr>
        <w:rPr>
          <w:b/>
          <w:bCs/>
        </w:rPr>
      </w:pPr>
      <w:r w:rsidRPr="005E4A30">
        <w:rPr>
          <w:b/>
          <w:bCs/>
        </w:rPr>
        <w:t>Observation 2: ‘</w:t>
      </w:r>
      <w:proofErr w:type="spellStart"/>
      <w:r w:rsidRPr="005E4A30">
        <w:rPr>
          <w:b/>
          <w:bCs/>
        </w:rPr>
        <w:t>pauseReporting</w:t>
      </w:r>
      <w:proofErr w:type="spellEnd"/>
      <w:r w:rsidRPr="005E4A30">
        <w:rPr>
          <w:b/>
          <w:bCs/>
        </w:rPr>
        <w:t xml:space="preserve">’ RRC indication from MN does not clarify whether the UE can transfer the </w:t>
      </w:r>
      <w:proofErr w:type="spellStart"/>
      <w:r w:rsidRPr="005E4A30">
        <w:rPr>
          <w:b/>
          <w:bCs/>
        </w:rPr>
        <w:t>QoE</w:t>
      </w:r>
      <w:proofErr w:type="spellEnd"/>
      <w:r w:rsidRPr="005E4A30">
        <w:rPr>
          <w:b/>
          <w:bCs/>
        </w:rPr>
        <w:t xml:space="preserve"> reports to the SN.</w:t>
      </w:r>
    </w:p>
    <w:p w14:paraId="16D914A8" w14:textId="77777777" w:rsidR="00E01EB3" w:rsidRPr="004F4540" w:rsidRDefault="00E01EB3" w:rsidP="00E01EB3">
      <w:pPr>
        <w:rPr>
          <w:bCs/>
        </w:rPr>
      </w:pPr>
      <w:r>
        <w:rPr>
          <w:bCs/>
        </w:rPr>
        <w:t>And proposed the following:</w:t>
      </w:r>
    </w:p>
    <w:p w14:paraId="799ED6DA" w14:textId="77777777" w:rsidR="00E2114B" w:rsidRPr="00ED5B38" w:rsidRDefault="00E2114B" w:rsidP="00E2114B">
      <w:pPr>
        <w:jc w:val="both"/>
        <w:rPr>
          <w:b/>
          <w:bCs/>
        </w:rPr>
      </w:pPr>
      <w:r w:rsidRPr="00ED5B38">
        <w:rPr>
          <w:b/>
          <w:bCs/>
        </w:rPr>
        <w:t xml:space="preserve">Proposal 1: SN-triggered configuration to the UE (over SRB1 or SRB3) reuse RRC Reconfiguration with </w:t>
      </w:r>
      <w:proofErr w:type="spellStart"/>
      <w:r w:rsidRPr="00ED5B38">
        <w:rPr>
          <w:b/>
          <w:bCs/>
          <w:i/>
          <w:iCs/>
        </w:rPr>
        <w:t>appLayerMeasConfig</w:t>
      </w:r>
      <w:proofErr w:type="spellEnd"/>
      <w:r w:rsidRPr="00ED5B38">
        <w:rPr>
          <w:b/>
          <w:bCs/>
        </w:rPr>
        <w:t xml:space="preserve"> IE. </w:t>
      </w:r>
    </w:p>
    <w:p w14:paraId="5DA550D2" w14:textId="77777777" w:rsidR="00E2114B" w:rsidRPr="00D473A6" w:rsidRDefault="00E2114B" w:rsidP="00E2114B">
      <w:pPr>
        <w:jc w:val="both"/>
        <w:rPr>
          <w:b/>
          <w:bCs/>
        </w:rPr>
      </w:pPr>
      <w:r w:rsidRPr="00D473A6">
        <w:rPr>
          <w:b/>
          <w:bCs/>
        </w:rPr>
        <w:t xml:space="preserve">Proposal 2: The MN coordinates with SN the ongoing UE’s </w:t>
      </w:r>
      <w:proofErr w:type="spellStart"/>
      <w:r w:rsidRPr="00D473A6">
        <w:rPr>
          <w:b/>
          <w:bCs/>
        </w:rPr>
        <w:t>QoE</w:t>
      </w:r>
      <w:proofErr w:type="spellEnd"/>
      <w:r w:rsidRPr="00D473A6">
        <w:rPr>
          <w:b/>
          <w:bCs/>
        </w:rPr>
        <w:t xml:space="preserve"> configurations, ensuring </w:t>
      </w:r>
      <w:proofErr w:type="spellStart"/>
      <w:r w:rsidRPr="00D473A6">
        <w:rPr>
          <w:b/>
          <w:bCs/>
        </w:rPr>
        <w:t>QoE</w:t>
      </w:r>
      <w:proofErr w:type="spellEnd"/>
      <w:r w:rsidRPr="00D473A6">
        <w:rPr>
          <w:b/>
          <w:bCs/>
        </w:rPr>
        <w:t xml:space="preserve"> configuration id (i.e., </w:t>
      </w:r>
      <w:proofErr w:type="spellStart"/>
      <w:r w:rsidRPr="00D473A6">
        <w:rPr>
          <w:b/>
          <w:bCs/>
          <w:i/>
          <w:iCs/>
        </w:rPr>
        <w:t>measConfigAppLayerId</w:t>
      </w:r>
      <w:proofErr w:type="spellEnd"/>
      <w:r w:rsidRPr="00D473A6">
        <w:rPr>
          <w:b/>
          <w:bCs/>
        </w:rPr>
        <w:t xml:space="preserve">) is unique and maximum number of the simultaneous </w:t>
      </w:r>
      <w:proofErr w:type="spellStart"/>
      <w:r w:rsidRPr="00D473A6">
        <w:rPr>
          <w:b/>
          <w:bCs/>
        </w:rPr>
        <w:t>QoE</w:t>
      </w:r>
      <w:proofErr w:type="spellEnd"/>
      <w:r w:rsidRPr="00D473A6">
        <w:rPr>
          <w:b/>
          <w:bCs/>
        </w:rPr>
        <w:t xml:space="preserve"> configurations configured to the UE is not exceeded. </w:t>
      </w:r>
    </w:p>
    <w:p w14:paraId="2A1A6A39" w14:textId="77777777" w:rsidR="00E2114B" w:rsidRPr="000C1916" w:rsidRDefault="00E2114B" w:rsidP="00E2114B">
      <w:pPr>
        <w:jc w:val="both"/>
        <w:rPr>
          <w:b/>
          <w:bCs/>
        </w:rPr>
      </w:pPr>
      <w:r w:rsidRPr="000C1916">
        <w:rPr>
          <w:b/>
          <w:bCs/>
        </w:rPr>
        <w:lastRenderedPageBreak/>
        <w:t>Proposal 3: RAN2 discuss whether the UE’s maximum number of application layer measurement configurations (i.e., 16) needs extension for DC.</w:t>
      </w:r>
    </w:p>
    <w:p w14:paraId="5269CFB1" w14:textId="77777777" w:rsidR="00E2114B" w:rsidRPr="00827CB6" w:rsidRDefault="00E2114B" w:rsidP="00E2114B">
      <w:pPr>
        <w:rPr>
          <w:b/>
          <w:bCs/>
        </w:rPr>
      </w:pPr>
      <w:r w:rsidRPr="00827CB6">
        <w:rPr>
          <w:b/>
          <w:bCs/>
        </w:rPr>
        <w:t xml:space="preserve">Proposal 4: In DC, </w:t>
      </w:r>
      <w:proofErr w:type="spellStart"/>
      <w:r w:rsidRPr="00827CB6">
        <w:rPr>
          <w:b/>
          <w:bCs/>
        </w:rPr>
        <w:t>MeasReportAppLayer</w:t>
      </w:r>
      <w:proofErr w:type="spellEnd"/>
      <w:r w:rsidRPr="00827CB6">
        <w:rPr>
          <w:b/>
          <w:bCs/>
        </w:rPr>
        <w:t xml:space="preserve"> over SRB4 is a default choice to transfer the </w:t>
      </w:r>
      <w:proofErr w:type="spellStart"/>
      <w:r w:rsidRPr="00827CB6">
        <w:rPr>
          <w:b/>
          <w:bCs/>
        </w:rPr>
        <w:t>QoE</w:t>
      </w:r>
      <w:proofErr w:type="spellEnd"/>
      <w:r w:rsidRPr="00827CB6">
        <w:rPr>
          <w:b/>
          <w:bCs/>
        </w:rPr>
        <w:t xml:space="preserve"> reports (i.e., to the MN-triggered configurations). </w:t>
      </w:r>
    </w:p>
    <w:p w14:paraId="4051A1FA" w14:textId="77777777" w:rsidR="00E2114B" w:rsidRPr="00827CB6" w:rsidRDefault="00E2114B" w:rsidP="00E2114B">
      <w:pPr>
        <w:rPr>
          <w:b/>
          <w:bCs/>
        </w:rPr>
      </w:pPr>
      <w:r w:rsidRPr="00827CB6">
        <w:rPr>
          <w:b/>
          <w:bCs/>
        </w:rPr>
        <w:t xml:space="preserve">Proposal 5: SRB5 can be used to transfer the </w:t>
      </w:r>
      <w:proofErr w:type="spellStart"/>
      <w:r w:rsidRPr="00827CB6">
        <w:rPr>
          <w:b/>
          <w:bCs/>
        </w:rPr>
        <w:t>QoE</w:t>
      </w:r>
      <w:proofErr w:type="spellEnd"/>
      <w:r w:rsidRPr="00827CB6">
        <w:rPr>
          <w:b/>
          <w:bCs/>
        </w:rPr>
        <w:t xml:space="preserve"> reports to the SN (e.g., to the SN-triggered configurations or due to MN overload). </w:t>
      </w:r>
    </w:p>
    <w:p w14:paraId="16BFC425" w14:textId="77777777" w:rsidR="00E2114B" w:rsidRPr="0059190F" w:rsidRDefault="00E2114B" w:rsidP="00E2114B">
      <w:pPr>
        <w:rPr>
          <w:b/>
          <w:bCs/>
        </w:rPr>
      </w:pPr>
      <w:r w:rsidRPr="0059190F">
        <w:rPr>
          <w:b/>
          <w:bCs/>
        </w:rPr>
        <w:t xml:space="preserve"> Proposal 6: Handling leg selection for </w:t>
      </w:r>
      <w:proofErr w:type="spellStart"/>
      <w:r w:rsidRPr="0059190F">
        <w:rPr>
          <w:b/>
          <w:bCs/>
        </w:rPr>
        <w:t>QoE</w:t>
      </w:r>
      <w:proofErr w:type="spellEnd"/>
      <w:r w:rsidRPr="0059190F">
        <w:rPr>
          <w:b/>
          <w:bCs/>
        </w:rPr>
        <w:t xml:space="preserve"> reporting is under network control. Details are FFS.</w:t>
      </w:r>
    </w:p>
    <w:p w14:paraId="55D48E7D" w14:textId="77777777" w:rsidR="00E2114B" w:rsidRPr="0059190F" w:rsidRDefault="00E2114B" w:rsidP="00E2114B">
      <w:pPr>
        <w:rPr>
          <w:b/>
          <w:bCs/>
        </w:rPr>
      </w:pPr>
      <w:r w:rsidRPr="0059190F">
        <w:rPr>
          <w:b/>
          <w:bCs/>
        </w:rPr>
        <w:t xml:space="preserve">Proposal 7: The UE sends the </w:t>
      </w:r>
      <w:proofErr w:type="spellStart"/>
      <w:r w:rsidRPr="0059190F">
        <w:rPr>
          <w:b/>
          <w:bCs/>
        </w:rPr>
        <w:t>QoE</w:t>
      </w:r>
      <w:proofErr w:type="spellEnd"/>
      <w:r w:rsidRPr="0059190F">
        <w:rPr>
          <w:b/>
          <w:bCs/>
        </w:rPr>
        <w:t xml:space="preserve"> reports to the SN with </w:t>
      </w:r>
      <w:proofErr w:type="spellStart"/>
      <w:r w:rsidRPr="0059190F">
        <w:rPr>
          <w:b/>
          <w:bCs/>
        </w:rPr>
        <w:t>MeasReportAppLayer</w:t>
      </w:r>
      <w:proofErr w:type="spellEnd"/>
      <w:r w:rsidRPr="0059190F">
        <w:rPr>
          <w:b/>
          <w:bCs/>
        </w:rPr>
        <w:t xml:space="preserve"> message. </w:t>
      </w:r>
    </w:p>
    <w:p w14:paraId="6C077E26" w14:textId="77777777" w:rsidR="00E2114B" w:rsidRPr="005E4A30" w:rsidRDefault="00E2114B" w:rsidP="00E2114B">
      <w:pPr>
        <w:spacing w:line="259" w:lineRule="auto"/>
        <w:rPr>
          <w:b/>
          <w:bCs/>
        </w:rPr>
      </w:pPr>
      <w:r w:rsidRPr="005E4A30">
        <w:rPr>
          <w:b/>
          <w:bCs/>
        </w:rPr>
        <w:t xml:space="preserve">Proposal 8: Rel-17 Pause mechanism should be adopted to support NR-DC. </w:t>
      </w:r>
    </w:p>
    <w:p w14:paraId="767F5CCE" w14:textId="77777777" w:rsidR="00E2114B" w:rsidRPr="005E4A30" w:rsidRDefault="00E2114B" w:rsidP="00E2114B">
      <w:pPr>
        <w:spacing w:line="259" w:lineRule="auto"/>
        <w:rPr>
          <w:b/>
          <w:bCs/>
        </w:rPr>
      </w:pPr>
      <w:r w:rsidRPr="005E4A30">
        <w:rPr>
          <w:b/>
          <w:bCs/>
        </w:rPr>
        <w:t xml:space="preserve">Proposal 9: FFS what </w:t>
      </w:r>
      <w:proofErr w:type="spellStart"/>
      <w:r w:rsidRPr="005E4A30">
        <w:rPr>
          <w:b/>
          <w:bCs/>
          <w:lang w:val="en-US"/>
        </w:rPr>
        <w:t>pauseReporting</w:t>
      </w:r>
      <w:proofErr w:type="spellEnd"/>
      <w:r w:rsidRPr="005E4A30">
        <w:rPr>
          <w:b/>
          <w:bCs/>
        </w:rPr>
        <w:t xml:space="preserve"> implies in DC (e.g., if MN sends Pause to suspend reporting to both: MN and SN, or to suspend reporting to MN only).</w:t>
      </w:r>
    </w:p>
    <w:p w14:paraId="73A43545" w14:textId="77777777" w:rsidR="00E2114B" w:rsidRPr="00CD4C7B" w:rsidRDefault="00E2114B" w:rsidP="00654FE7"/>
    <w:sectPr w:rsidR="00E2114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2DC9" w14:textId="77777777" w:rsidR="00BF2534" w:rsidRDefault="00BF2534">
      <w:r>
        <w:separator/>
      </w:r>
    </w:p>
  </w:endnote>
  <w:endnote w:type="continuationSeparator" w:id="0">
    <w:p w14:paraId="0FF61552" w14:textId="77777777" w:rsidR="00BF2534" w:rsidRDefault="00BF2534">
      <w:r>
        <w:continuationSeparator/>
      </w:r>
    </w:p>
  </w:endnote>
  <w:endnote w:type="continuationNotice" w:id="1">
    <w:p w14:paraId="09F1C28F" w14:textId="77777777" w:rsidR="00BF2534" w:rsidRDefault="00BF2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66C0" w14:textId="77777777" w:rsidR="00BF2534" w:rsidRDefault="00BF2534">
      <w:r>
        <w:separator/>
      </w:r>
    </w:p>
  </w:footnote>
  <w:footnote w:type="continuationSeparator" w:id="0">
    <w:p w14:paraId="7B3DC6B3" w14:textId="77777777" w:rsidR="00BF2534" w:rsidRDefault="00BF2534">
      <w:r>
        <w:continuationSeparator/>
      </w:r>
    </w:p>
  </w:footnote>
  <w:footnote w:type="continuationNotice" w:id="1">
    <w:p w14:paraId="7B1D7FB6" w14:textId="77777777" w:rsidR="00BF2534" w:rsidRDefault="00BF25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F0A03"/>
    <w:multiLevelType w:val="hybridMultilevel"/>
    <w:tmpl w:val="70AE5D20"/>
    <w:lvl w:ilvl="0" w:tplc="EC2049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9B7406"/>
    <w:multiLevelType w:val="hybridMultilevel"/>
    <w:tmpl w:val="FFFFFFFF"/>
    <w:lvl w:ilvl="0" w:tplc="23745F98">
      <w:start w:val="1"/>
      <w:numFmt w:val="bullet"/>
      <w:lvlText w:val="-"/>
      <w:lvlJc w:val="left"/>
      <w:pPr>
        <w:ind w:left="720" w:hanging="360"/>
      </w:pPr>
      <w:rPr>
        <w:rFonts w:ascii="&quot;Times New Roman&quot;,serif" w:hAnsi="&quot;Times New Roman&quot;,serif" w:hint="default"/>
      </w:rPr>
    </w:lvl>
    <w:lvl w:ilvl="1" w:tplc="A2D4449C">
      <w:start w:val="1"/>
      <w:numFmt w:val="bullet"/>
      <w:lvlText w:val="o"/>
      <w:lvlJc w:val="left"/>
      <w:pPr>
        <w:ind w:left="1440" w:hanging="360"/>
      </w:pPr>
      <w:rPr>
        <w:rFonts w:ascii="Courier New" w:hAnsi="Courier New" w:hint="default"/>
      </w:rPr>
    </w:lvl>
    <w:lvl w:ilvl="2" w:tplc="7B5E3224">
      <w:start w:val="1"/>
      <w:numFmt w:val="bullet"/>
      <w:lvlText w:val=""/>
      <w:lvlJc w:val="left"/>
      <w:pPr>
        <w:ind w:left="2160" w:hanging="360"/>
      </w:pPr>
      <w:rPr>
        <w:rFonts w:ascii="Wingdings" w:hAnsi="Wingdings" w:hint="default"/>
      </w:rPr>
    </w:lvl>
    <w:lvl w:ilvl="3" w:tplc="F9E432AC">
      <w:start w:val="1"/>
      <w:numFmt w:val="bullet"/>
      <w:lvlText w:val=""/>
      <w:lvlJc w:val="left"/>
      <w:pPr>
        <w:ind w:left="2880" w:hanging="360"/>
      </w:pPr>
      <w:rPr>
        <w:rFonts w:ascii="Symbol" w:hAnsi="Symbol" w:hint="default"/>
      </w:rPr>
    </w:lvl>
    <w:lvl w:ilvl="4" w:tplc="723CEA46">
      <w:start w:val="1"/>
      <w:numFmt w:val="bullet"/>
      <w:lvlText w:val="o"/>
      <w:lvlJc w:val="left"/>
      <w:pPr>
        <w:ind w:left="3600" w:hanging="360"/>
      </w:pPr>
      <w:rPr>
        <w:rFonts w:ascii="Courier New" w:hAnsi="Courier New" w:hint="default"/>
      </w:rPr>
    </w:lvl>
    <w:lvl w:ilvl="5" w:tplc="2EE6979E">
      <w:start w:val="1"/>
      <w:numFmt w:val="bullet"/>
      <w:lvlText w:val=""/>
      <w:lvlJc w:val="left"/>
      <w:pPr>
        <w:ind w:left="4320" w:hanging="360"/>
      </w:pPr>
      <w:rPr>
        <w:rFonts w:ascii="Wingdings" w:hAnsi="Wingdings" w:hint="default"/>
      </w:rPr>
    </w:lvl>
    <w:lvl w:ilvl="6" w:tplc="269A38BE">
      <w:start w:val="1"/>
      <w:numFmt w:val="bullet"/>
      <w:lvlText w:val=""/>
      <w:lvlJc w:val="left"/>
      <w:pPr>
        <w:ind w:left="5040" w:hanging="360"/>
      </w:pPr>
      <w:rPr>
        <w:rFonts w:ascii="Symbol" w:hAnsi="Symbol" w:hint="default"/>
      </w:rPr>
    </w:lvl>
    <w:lvl w:ilvl="7" w:tplc="231C2E12">
      <w:start w:val="1"/>
      <w:numFmt w:val="bullet"/>
      <w:lvlText w:val="o"/>
      <w:lvlJc w:val="left"/>
      <w:pPr>
        <w:ind w:left="5760" w:hanging="360"/>
      </w:pPr>
      <w:rPr>
        <w:rFonts w:ascii="Courier New" w:hAnsi="Courier New" w:hint="default"/>
      </w:rPr>
    </w:lvl>
    <w:lvl w:ilvl="8" w:tplc="E2E4DE12">
      <w:start w:val="1"/>
      <w:numFmt w:val="bullet"/>
      <w:lvlText w:val=""/>
      <w:lvlJc w:val="left"/>
      <w:pPr>
        <w:ind w:left="6480"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2A7134"/>
    <w:multiLevelType w:val="hybridMultilevel"/>
    <w:tmpl w:val="895E68EE"/>
    <w:lvl w:ilvl="0" w:tplc="7DC2FD36">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7463C"/>
    <w:multiLevelType w:val="multilevel"/>
    <w:tmpl w:val="4C2746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38F3299"/>
    <w:multiLevelType w:val="hybridMultilevel"/>
    <w:tmpl w:val="2A26562C"/>
    <w:lvl w:ilvl="0" w:tplc="CFB6272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DA26EF"/>
    <w:multiLevelType w:val="hybridMultilevel"/>
    <w:tmpl w:val="887C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9D1686"/>
    <w:multiLevelType w:val="hybridMultilevel"/>
    <w:tmpl w:val="0646F2A4"/>
    <w:lvl w:ilvl="0" w:tplc="5680E1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892006"/>
    <w:multiLevelType w:val="multilevel"/>
    <w:tmpl w:val="6D0C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744709"/>
    <w:multiLevelType w:val="hybridMultilevel"/>
    <w:tmpl w:val="AE2C6102"/>
    <w:lvl w:ilvl="0" w:tplc="11AEBBFC">
      <w:start w:val="1"/>
      <w:numFmt w:val="bullet"/>
      <w:lvlText w:val="•"/>
      <w:lvlJc w:val="left"/>
      <w:pPr>
        <w:tabs>
          <w:tab w:val="num" w:pos="720"/>
        </w:tabs>
        <w:ind w:left="720" w:hanging="360"/>
      </w:pPr>
      <w:rPr>
        <w:rFonts w:ascii="Arial" w:hAnsi="Arial" w:hint="default"/>
      </w:rPr>
    </w:lvl>
    <w:lvl w:ilvl="1" w:tplc="38A2E912" w:tentative="1">
      <w:start w:val="1"/>
      <w:numFmt w:val="bullet"/>
      <w:lvlText w:val="•"/>
      <w:lvlJc w:val="left"/>
      <w:pPr>
        <w:tabs>
          <w:tab w:val="num" w:pos="1440"/>
        </w:tabs>
        <w:ind w:left="1440" w:hanging="360"/>
      </w:pPr>
      <w:rPr>
        <w:rFonts w:ascii="Arial" w:hAnsi="Arial" w:hint="default"/>
      </w:rPr>
    </w:lvl>
    <w:lvl w:ilvl="2" w:tplc="FA96EA16">
      <w:start w:val="1"/>
      <w:numFmt w:val="bullet"/>
      <w:lvlText w:val="•"/>
      <w:lvlJc w:val="left"/>
      <w:pPr>
        <w:tabs>
          <w:tab w:val="num" w:pos="2160"/>
        </w:tabs>
        <w:ind w:left="2160" w:hanging="360"/>
      </w:pPr>
      <w:rPr>
        <w:rFonts w:ascii="Arial" w:hAnsi="Arial" w:hint="default"/>
      </w:rPr>
    </w:lvl>
    <w:lvl w:ilvl="3" w:tplc="D32234C0" w:tentative="1">
      <w:start w:val="1"/>
      <w:numFmt w:val="bullet"/>
      <w:lvlText w:val="•"/>
      <w:lvlJc w:val="left"/>
      <w:pPr>
        <w:tabs>
          <w:tab w:val="num" w:pos="2880"/>
        </w:tabs>
        <w:ind w:left="2880" w:hanging="360"/>
      </w:pPr>
      <w:rPr>
        <w:rFonts w:ascii="Arial" w:hAnsi="Arial" w:hint="default"/>
      </w:rPr>
    </w:lvl>
    <w:lvl w:ilvl="4" w:tplc="2FFC5CE6" w:tentative="1">
      <w:start w:val="1"/>
      <w:numFmt w:val="bullet"/>
      <w:lvlText w:val="•"/>
      <w:lvlJc w:val="left"/>
      <w:pPr>
        <w:tabs>
          <w:tab w:val="num" w:pos="3600"/>
        </w:tabs>
        <w:ind w:left="3600" w:hanging="360"/>
      </w:pPr>
      <w:rPr>
        <w:rFonts w:ascii="Arial" w:hAnsi="Arial" w:hint="default"/>
      </w:rPr>
    </w:lvl>
    <w:lvl w:ilvl="5" w:tplc="71C4FEE2" w:tentative="1">
      <w:start w:val="1"/>
      <w:numFmt w:val="bullet"/>
      <w:lvlText w:val="•"/>
      <w:lvlJc w:val="left"/>
      <w:pPr>
        <w:tabs>
          <w:tab w:val="num" w:pos="4320"/>
        </w:tabs>
        <w:ind w:left="4320" w:hanging="360"/>
      </w:pPr>
      <w:rPr>
        <w:rFonts w:ascii="Arial" w:hAnsi="Arial" w:hint="default"/>
      </w:rPr>
    </w:lvl>
    <w:lvl w:ilvl="6" w:tplc="C4126482" w:tentative="1">
      <w:start w:val="1"/>
      <w:numFmt w:val="bullet"/>
      <w:lvlText w:val="•"/>
      <w:lvlJc w:val="left"/>
      <w:pPr>
        <w:tabs>
          <w:tab w:val="num" w:pos="5040"/>
        </w:tabs>
        <w:ind w:left="5040" w:hanging="360"/>
      </w:pPr>
      <w:rPr>
        <w:rFonts w:ascii="Arial" w:hAnsi="Arial" w:hint="default"/>
      </w:rPr>
    </w:lvl>
    <w:lvl w:ilvl="7" w:tplc="24AC5B86" w:tentative="1">
      <w:start w:val="1"/>
      <w:numFmt w:val="bullet"/>
      <w:lvlText w:val="•"/>
      <w:lvlJc w:val="left"/>
      <w:pPr>
        <w:tabs>
          <w:tab w:val="num" w:pos="5760"/>
        </w:tabs>
        <w:ind w:left="5760" w:hanging="360"/>
      </w:pPr>
      <w:rPr>
        <w:rFonts w:ascii="Arial" w:hAnsi="Arial" w:hint="default"/>
      </w:rPr>
    </w:lvl>
    <w:lvl w:ilvl="8" w:tplc="7550DA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D97121"/>
    <w:multiLevelType w:val="hybridMultilevel"/>
    <w:tmpl w:val="C16CCC54"/>
    <w:lvl w:ilvl="0" w:tplc="11AEBBF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12"/>
  </w:num>
  <w:num w:numId="9">
    <w:abstractNumId w:val="10"/>
  </w:num>
  <w:num w:numId="10">
    <w:abstractNumId w:val="9"/>
  </w:num>
  <w:num w:numId="11">
    <w:abstractNumId w:val="3"/>
  </w:num>
  <w:num w:numId="12">
    <w:abstractNumId w:val="11"/>
  </w:num>
  <w:num w:numId="13">
    <w:abstractNumId w:val="13"/>
  </w:num>
  <w:num w:numId="14">
    <w:abstractNumId w:val="16"/>
  </w:num>
  <w:num w:numId="15">
    <w:abstractNumId w:val="5"/>
  </w:num>
  <w:num w:numId="16">
    <w:abstractNumId w:val="18"/>
  </w:num>
  <w:num w:numId="17">
    <w:abstractNumId w:val="19"/>
  </w:num>
  <w:num w:numId="18">
    <w:abstractNumId w:val="14"/>
  </w:num>
  <w:num w:numId="19">
    <w:abstractNumId w:val="16"/>
  </w:num>
  <w:num w:numId="20">
    <w:abstractNumId w:val="13"/>
  </w:num>
  <w:num w:numId="21">
    <w:abstractNumId w:val="17"/>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B9F"/>
    <w:rsid w:val="000146E4"/>
    <w:rsid w:val="000168A0"/>
    <w:rsid w:val="00022318"/>
    <w:rsid w:val="00026298"/>
    <w:rsid w:val="00033397"/>
    <w:rsid w:val="000342C7"/>
    <w:rsid w:val="00040095"/>
    <w:rsid w:val="00043BBB"/>
    <w:rsid w:val="0005440F"/>
    <w:rsid w:val="0005563E"/>
    <w:rsid w:val="000627C2"/>
    <w:rsid w:val="00065FEC"/>
    <w:rsid w:val="000761B8"/>
    <w:rsid w:val="00080512"/>
    <w:rsid w:val="00082BC9"/>
    <w:rsid w:val="00083F0D"/>
    <w:rsid w:val="000B1E3D"/>
    <w:rsid w:val="000B7BCF"/>
    <w:rsid w:val="000C1916"/>
    <w:rsid w:val="000C556D"/>
    <w:rsid w:val="000D376D"/>
    <w:rsid w:val="000D58AB"/>
    <w:rsid w:val="000E0343"/>
    <w:rsid w:val="000E14F3"/>
    <w:rsid w:val="000F0734"/>
    <w:rsid w:val="000F1B22"/>
    <w:rsid w:val="000F5692"/>
    <w:rsid w:val="00100594"/>
    <w:rsid w:val="00106740"/>
    <w:rsid w:val="00106BA9"/>
    <w:rsid w:val="001075B7"/>
    <w:rsid w:val="00124CD8"/>
    <w:rsid w:val="001370F2"/>
    <w:rsid w:val="00141063"/>
    <w:rsid w:val="001549DD"/>
    <w:rsid w:val="00154EE5"/>
    <w:rsid w:val="001566DC"/>
    <w:rsid w:val="001753B2"/>
    <w:rsid w:val="00177234"/>
    <w:rsid w:val="00177BC7"/>
    <w:rsid w:val="00183528"/>
    <w:rsid w:val="00192E19"/>
    <w:rsid w:val="00194CD0"/>
    <w:rsid w:val="001A4EE0"/>
    <w:rsid w:val="001A7046"/>
    <w:rsid w:val="001B08B3"/>
    <w:rsid w:val="001B23DF"/>
    <w:rsid w:val="001B5923"/>
    <w:rsid w:val="001B7DB5"/>
    <w:rsid w:val="001C4281"/>
    <w:rsid w:val="001D0D3F"/>
    <w:rsid w:val="001D2E5D"/>
    <w:rsid w:val="001E39D1"/>
    <w:rsid w:val="001F168B"/>
    <w:rsid w:val="001F70B7"/>
    <w:rsid w:val="00204AEA"/>
    <w:rsid w:val="00205465"/>
    <w:rsid w:val="0022405F"/>
    <w:rsid w:val="00225F6D"/>
    <w:rsid w:val="0022606D"/>
    <w:rsid w:val="0022761C"/>
    <w:rsid w:val="00227635"/>
    <w:rsid w:val="002302B5"/>
    <w:rsid w:val="002305CE"/>
    <w:rsid w:val="002305DD"/>
    <w:rsid w:val="0023333E"/>
    <w:rsid w:val="00235228"/>
    <w:rsid w:val="00236D9A"/>
    <w:rsid w:val="00243BC7"/>
    <w:rsid w:val="00244AA6"/>
    <w:rsid w:val="00252296"/>
    <w:rsid w:val="002571C4"/>
    <w:rsid w:val="00260AFF"/>
    <w:rsid w:val="002612F9"/>
    <w:rsid w:val="002623FC"/>
    <w:rsid w:val="0026325E"/>
    <w:rsid w:val="002747EC"/>
    <w:rsid w:val="00281040"/>
    <w:rsid w:val="002855BF"/>
    <w:rsid w:val="002953B2"/>
    <w:rsid w:val="002A4426"/>
    <w:rsid w:val="002A6891"/>
    <w:rsid w:val="002B3C09"/>
    <w:rsid w:val="002B7AD6"/>
    <w:rsid w:val="002D0353"/>
    <w:rsid w:val="002D1595"/>
    <w:rsid w:val="002D1B5F"/>
    <w:rsid w:val="002E1692"/>
    <w:rsid w:val="002E7DED"/>
    <w:rsid w:val="002F0D22"/>
    <w:rsid w:val="002F23E1"/>
    <w:rsid w:val="003172DC"/>
    <w:rsid w:val="0032370F"/>
    <w:rsid w:val="00326069"/>
    <w:rsid w:val="003268C3"/>
    <w:rsid w:val="00331A46"/>
    <w:rsid w:val="0033762F"/>
    <w:rsid w:val="00340D55"/>
    <w:rsid w:val="00342661"/>
    <w:rsid w:val="003454FC"/>
    <w:rsid w:val="0035462D"/>
    <w:rsid w:val="00363177"/>
    <w:rsid w:val="003702F7"/>
    <w:rsid w:val="00371131"/>
    <w:rsid w:val="00374123"/>
    <w:rsid w:val="00385676"/>
    <w:rsid w:val="00385C62"/>
    <w:rsid w:val="00391D72"/>
    <w:rsid w:val="003B3FB3"/>
    <w:rsid w:val="003C2323"/>
    <w:rsid w:val="003C4E37"/>
    <w:rsid w:val="003E1194"/>
    <w:rsid w:val="003E16BE"/>
    <w:rsid w:val="003E39EF"/>
    <w:rsid w:val="003E4268"/>
    <w:rsid w:val="003E5BBC"/>
    <w:rsid w:val="003E6BE3"/>
    <w:rsid w:val="003E7223"/>
    <w:rsid w:val="003F298C"/>
    <w:rsid w:val="00401855"/>
    <w:rsid w:val="00406BCB"/>
    <w:rsid w:val="00414C6A"/>
    <w:rsid w:val="00416B8B"/>
    <w:rsid w:val="00420069"/>
    <w:rsid w:val="004367BE"/>
    <w:rsid w:val="00436BEB"/>
    <w:rsid w:val="00447BE9"/>
    <w:rsid w:val="004537A2"/>
    <w:rsid w:val="00464695"/>
    <w:rsid w:val="00470D82"/>
    <w:rsid w:val="004712A8"/>
    <w:rsid w:val="004763E4"/>
    <w:rsid w:val="004768B0"/>
    <w:rsid w:val="00477876"/>
    <w:rsid w:val="004B5C43"/>
    <w:rsid w:val="004C3DB8"/>
    <w:rsid w:val="004C5539"/>
    <w:rsid w:val="004D070B"/>
    <w:rsid w:val="004D16AA"/>
    <w:rsid w:val="004D2980"/>
    <w:rsid w:val="004D2EF4"/>
    <w:rsid w:val="004D3578"/>
    <w:rsid w:val="004D380D"/>
    <w:rsid w:val="004D3F58"/>
    <w:rsid w:val="004D5E47"/>
    <w:rsid w:val="004E213A"/>
    <w:rsid w:val="004E21FC"/>
    <w:rsid w:val="00503171"/>
    <w:rsid w:val="00504E2C"/>
    <w:rsid w:val="005153FE"/>
    <w:rsid w:val="00515A3E"/>
    <w:rsid w:val="005235F2"/>
    <w:rsid w:val="005240A4"/>
    <w:rsid w:val="00524E0C"/>
    <w:rsid w:val="005318FE"/>
    <w:rsid w:val="00531C12"/>
    <w:rsid w:val="005323D2"/>
    <w:rsid w:val="00534139"/>
    <w:rsid w:val="00534DA0"/>
    <w:rsid w:val="00540B31"/>
    <w:rsid w:val="00540CC5"/>
    <w:rsid w:val="00543E6C"/>
    <w:rsid w:val="00544635"/>
    <w:rsid w:val="005449C3"/>
    <w:rsid w:val="00556513"/>
    <w:rsid w:val="005640CC"/>
    <w:rsid w:val="00565087"/>
    <w:rsid w:val="0056573F"/>
    <w:rsid w:val="00565BE9"/>
    <w:rsid w:val="005710FC"/>
    <w:rsid w:val="00571CE2"/>
    <w:rsid w:val="005763B2"/>
    <w:rsid w:val="0057648B"/>
    <w:rsid w:val="00580252"/>
    <w:rsid w:val="00581504"/>
    <w:rsid w:val="005857F7"/>
    <w:rsid w:val="0059190F"/>
    <w:rsid w:val="00596DC3"/>
    <w:rsid w:val="005A4971"/>
    <w:rsid w:val="005B1232"/>
    <w:rsid w:val="005B2EEF"/>
    <w:rsid w:val="005C5FF3"/>
    <w:rsid w:val="005D4274"/>
    <w:rsid w:val="005D7F9A"/>
    <w:rsid w:val="005E4A30"/>
    <w:rsid w:val="005F3D05"/>
    <w:rsid w:val="00605E3E"/>
    <w:rsid w:val="00606DA9"/>
    <w:rsid w:val="00611566"/>
    <w:rsid w:val="00611D47"/>
    <w:rsid w:val="006134A2"/>
    <w:rsid w:val="0061623A"/>
    <w:rsid w:val="00617A14"/>
    <w:rsid w:val="00624C5C"/>
    <w:rsid w:val="00632388"/>
    <w:rsid w:val="00634172"/>
    <w:rsid w:val="00635B0C"/>
    <w:rsid w:val="0065036B"/>
    <w:rsid w:val="00654FE7"/>
    <w:rsid w:val="00656E1E"/>
    <w:rsid w:val="006604E4"/>
    <w:rsid w:val="00660754"/>
    <w:rsid w:val="0066389B"/>
    <w:rsid w:val="0066586F"/>
    <w:rsid w:val="00667318"/>
    <w:rsid w:val="0067045B"/>
    <w:rsid w:val="00681463"/>
    <w:rsid w:val="00684F35"/>
    <w:rsid w:val="00691604"/>
    <w:rsid w:val="006922D4"/>
    <w:rsid w:val="00692838"/>
    <w:rsid w:val="00693B1B"/>
    <w:rsid w:val="006A5241"/>
    <w:rsid w:val="006B36A5"/>
    <w:rsid w:val="006B5069"/>
    <w:rsid w:val="006C54B5"/>
    <w:rsid w:val="006C7FBE"/>
    <w:rsid w:val="006D0D11"/>
    <w:rsid w:val="006D1E24"/>
    <w:rsid w:val="006D4365"/>
    <w:rsid w:val="006D5BCA"/>
    <w:rsid w:val="006E3F77"/>
    <w:rsid w:val="006E73E2"/>
    <w:rsid w:val="006F339E"/>
    <w:rsid w:val="0070284F"/>
    <w:rsid w:val="00702BDF"/>
    <w:rsid w:val="00703778"/>
    <w:rsid w:val="00711943"/>
    <w:rsid w:val="0071271F"/>
    <w:rsid w:val="00725A8C"/>
    <w:rsid w:val="00734A5B"/>
    <w:rsid w:val="00741931"/>
    <w:rsid w:val="00741EC5"/>
    <w:rsid w:val="00743525"/>
    <w:rsid w:val="00744E76"/>
    <w:rsid w:val="007476DB"/>
    <w:rsid w:val="00754C3A"/>
    <w:rsid w:val="00757D40"/>
    <w:rsid w:val="007677A8"/>
    <w:rsid w:val="00767A38"/>
    <w:rsid w:val="00774846"/>
    <w:rsid w:val="00776CAD"/>
    <w:rsid w:val="00781F0F"/>
    <w:rsid w:val="0078248B"/>
    <w:rsid w:val="0078727C"/>
    <w:rsid w:val="0079300E"/>
    <w:rsid w:val="00797D4B"/>
    <w:rsid w:val="007B01CE"/>
    <w:rsid w:val="007B129B"/>
    <w:rsid w:val="007B5A4E"/>
    <w:rsid w:val="007C095F"/>
    <w:rsid w:val="007D44BE"/>
    <w:rsid w:val="007D5902"/>
    <w:rsid w:val="007E03E3"/>
    <w:rsid w:val="007F2676"/>
    <w:rsid w:val="007F6989"/>
    <w:rsid w:val="008011AD"/>
    <w:rsid w:val="00802106"/>
    <w:rsid w:val="008028A4"/>
    <w:rsid w:val="00806520"/>
    <w:rsid w:val="00806C0F"/>
    <w:rsid w:val="00807955"/>
    <w:rsid w:val="00815047"/>
    <w:rsid w:val="00826669"/>
    <w:rsid w:val="00827CB6"/>
    <w:rsid w:val="00830106"/>
    <w:rsid w:val="008309D0"/>
    <w:rsid w:val="00840916"/>
    <w:rsid w:val="00840EF7"/>
    <w:rsid w:val="008504B8"/>
    <w:rsid w:val="00853EDD"/>
    <w:rsid w:val="008604EE"/>
    <w:rsid w:val="00863BDC"/>
    <w:rsid w:val="00864819"/>
    <w:rsid w:val="00867FE6"/>
    <w:rsid w:val="0087401D"/>
    <w:rsid w:val="008768CA"/>
    <w:rsid w:val="00880559"/>
    <w:rsid w:val="0089246D"/>
    <w:rsid w:val="008950A4"/>
    <w:rsid w:val="00896B69"/>
    <w:rsid w:val="008A0E5B"/>
    <w:rsid w:val="008A3249"/>
    <w:rsid w:val="008B4214"/>
    <w:rsid w:val="008B7650"/>
    <w:rsid w:val="008C2835"/>
    <w:rsid w:val="008C490B"/>
    <w:rsid w:val="008C4E1F"/>
    <w:rsid w:val="008C6DA5"/>
    <w:rsid w:val="008D04B0"/>
    <w:rsid w:val="008E00FE"/>
    <w:rsid w:val="008E3ABF"/>
    <w:rsid w:val="008E4FCB"/>
    <w:rsid w:val="0090271F"/>
    <w:rsid w:val="00903D8C"/>
    <w:rsid w:val="00903E23"/>
    <w:rsid w:val="0092277F"/>
    <w:rsid w:val="00923A76"/>
    <w:rsid w:val="00923E99"/>
    <w:rsid w:val="00925481"/>
    <w:rsid w:val="00941293"/>
    <w:rsid w:val="00942EC2"/>
    <w:rsid w:val="00947C15"/>
    <w:rsid w:val="00954BCB"/>
    <w:rsid w:val="00961B32"/>
    <w:rsid w:val="00971683"/>
    <w:rsid w:val="00972FD7"/>
    <w:rsid w:val="00974AC0"/>
    <w:rsid w:val="00974BB0"/>
    <w:rsid w:val="00992FB3"/>
    <w:rsid w:val="009946C1"/>
    <w:rsid w:val="009A08C7"/>
    <w:rsid w:val="009A350F"/>
    <w:rsid w:val="009A60CA"/>
    <w:rsid w:val="009A6E4F"/>
    <w:rsid w:val="009A7524"/>
    <w:rsid w:val="009B51C9"/>
    <w:rsid w:val="009C40CE"/>
    <w:rsid w:val="009C4D5C"/>
    <w:rsid w:val="009D0A28"/>
    <w:rsid w:val="009D50BB"/>
    <w:rsid w:val="009D7C3E"/>
    <w:rsid w:val="009E31A6"/>
    <w:rsid w:val="009E765B"/>
    <w:rsid w:val="009F19E5"/>
    <w:rsid w:val="009F336E"/>
    <w:rsid w:val="009F3B54"/>
    <w:rsid w:val="009F7E6E"/>
    <w:rsid w:val="00A10F02"/>
    <w:rsid w:val="00A11AA1"/>
    <w:rsid w:val="00A123E9"/>
    <w:rsid w:val="00A129E7"/>
    <w:rsid w:val="00A15770"/>
    <w:rsid w:val="00A2216E"/>
    <w:rsid w:val="00A33127"/>
    <w:rsid w:val="00A51E16"/>
    <w:rsid w:val="00A53724"/>
    <w:rsid w:val="00A611CA"/>
    <w:rsid w:val="00A66FDE"/>
    <w:rsid w:val="00A814E6"/>
    <w:rsid w:val="00A82346"/>
    <w:rsid w:val="00A8361A"/>
    <w:rsid w:val="00A95A1D"/>
    <w:rsid w:val="00A9671C"/>
    <w:rsid w:val="00A96C33"/>
    <w:rsid w:val="00AA1677"/>
    <w:rsid w:val="00AB247E"/>
    <w:rsid w:val="00AB6AAB"/>
    <w:rsid w:val="00AD402B"/>
    <w:rsid w:val="00AD4BCF"/>
    <w:rsid w:val="00AE6C19"/>
    <w:rsid w:val="00AF4A8E"/>
    <w:rsid w:val="00AF78D5"/>
    <w:rsid w:val="00B1063A"/>
    <w:rsid w:val="00B15449"/>
    <w:rsid w:val="00B21241"/>
    <w:rsid w:val="00B2279C"/>
    <w:rsid w:val="00B312E9"/>
    <w:rsid w:val="00B33FBE"/>
    <w:rsid w:val="00B356AA"/>
    <w:rsid w:val="00B35A97"/>
    <w:rsid w:val="00B37827"/>
    <w:rsid w:val="00B47F9F"/>
    <w:rsid w:val="00B53FE3"/>
    <w:rsid w:val="00B6029F"/>
    <w:rsid w:val="00B61E09"/>
    <w:rsid w:val="00B61EF1"/>
    <w:rsid w:val="00B77CF3"/>
    <w:rsid w:val="00B85D55"/>
    <w:rsid w:val="00B9781E"/>
    <w:rsid w:val="00BA231E"/>
    <w:rsid w:val="00BB2A11"/>
    <w:rsid w:val="00BB672C"/>
    <w:rsid w:val="00BC1938"/>
    <w:rsid w:val="00BC2C26"/>
    <w:rsid w:val="00BD5A3B"/>
    <w:rsid w:val="00BE0C22"/>
    <w:rsid w:val="00BF2534"/>
    <w:rsid w:val="00BF498F"/>
    <w:rsid w:val="00BF56E0"/>
    <w:rsid w:val="00BF684F"/>
    <w:rsid w:val="00BF79F1"/>
    <w:rsid w:val="00C03035"/>
    <w:rsid w:val="00C07774"/>
    <w:rsid w:val="00C13762"/>
    <w:rsid w:val="00C275BC"/>
    <w:rsid w:val="00C27D05"/>
    <w:rsid w:val="00C33079"/>
    <w:rsid w:val="00C365F1"/>
    <w:rsid w:val="00C43B31"/>
    <w:rsid w:val="00C472BD"/>
    <w:rsid w:val="00C5030B"/>
    <w:rsid w:val="00C50536"/>
    <w:rsid w:val="00C55EB7"/>
    <w:rsid w:val="00C5605F"/>
    <w:rsid w:val="00C610C9"/>
    <w:rsid w:val="00C65629"/>
    <w:rsid w:val="00C65EC8"/>
    <w:rsid w:val="00C66D8A"/>
    <w:rsid w:val="00C72B53"/>
    <w:rsid w:val="00C80A2E"/>
    <w:rsid w:val="00C84142"/>
    <w:rsid w:val="00C859D2"/>
    <w:rsid w:val="00C92BD8"/>
    <w:rsid w:val="00CA2194"/>
    <w:rsid w:val="00CA3D0C"/>
    <w:rsid w:val="00CA72FD"/>
    <w:rsid w:val="00CB6651"/>
    <w:rsid w:val="00CB6887"/>
    <w:rsid w:val="00CC1C22"/>
    <w:rsid w:val="00CC315F"/>
    <w:rsid w:val="00CC423F"/>
    <w:rsid w:val="00CC61C5"/>
    <w:rsid w:val="00CD4C7B"/>
    <w:rsid w:val="00CD5E48"/>
    <w:rsid w:val="00CE0288"/>
    <w:rsid w:val="00CE04AC"/>
    <w:rsid w:val="00CE2397"/>
    <w:rsid w:val="00CE642C"/>
    <w:rsid w:val="00CF041C"/>
    <w:rsid w:val="00D05DF3"/>
    <w:rsid w:val="00D12518"/>
    <w:rsid w:val="00D1463E"/>
    <w:rsid w:val="00D22038"/>
    <w:rsid w:val="00D30428"/>
    <w:rsid w:val="00D37EBC"/>
    <w:rsid w:val="00D45717"/>
    <w:rsid w:val="00D46048"/>
    <w:rsid w:val="00D473A6"/>
    <w:rsid w:val="00D50BA6"/>
    <w:rsid w:val="00D6502E"/>
    <w:rsid w:val="00D65455"/>
    <w:rsid w:val="00D66CBF"/>
    <w:rsid w:val="00D738D6"/>
    <w:rsid w:val="00D80795"/>
    <w:rsid w:val="00D84003"/>
    <w:rsid w:val="00D84FB8"/>
    <w:rsid w:val="00D854CD"/>
    <w:rsid w:val="00D86C8C"/>
    <w:rsid w:val="00D87E00"/>
    <w:rsid w:val="00D908B4"/>
    <w:rsid w:val="00D9134D"/>
    <w:rsid w:val="00D93DB0"/>
    <w:rsid w:val="00D97CD9"/>
    <w:rsid w:val="00DA69B8"/>
    <w:rsid w:val="00DA7A03"/>
    <w:rsid w:val="00DB1818"/>
    <w:rsid w:val="00DC309B"/>
    <w:rsid w:val="00DC4DA2"/>
    <w:rsid w:val="00DC5C1A"/>
    <w:rsid w:val="00DD2E8F"/>
    <w:rsid w:val="00DE1406"/>
    <w:rsid w:val="00DE1CE1"/>
    <w:rsid w:val="00DE384F"/>
    <w:rsid w:val="00DF2D25"/>
    <w:rsid w:val="00DF553B"/>
    <w:rsid w:val="00DF6D41"/>
    <w:rsid w:val="00E010A3"/>
    <w:rsid w:val="00E01EB3"/>
    <w:rsid w:val="00E07838"/>
    <w:rsid w:val="00E10202"/>
    <w:rsid w:val="00E2114B"/>
    <w:rsid w:val="00E21164"/>
    <w:rsid w:val="00E26941"/>
    <w:rsid w:val="00E319B8"/>
    <w:rsid w:val="00E340BC"/>
    <w:rsid w:val="00E36DC0"/>
    <w:rsid w:val="00E40EB3"/>
    <w:rsid w:val="00E51F8B"/>
    <w:rsid w:val="00E6147B"/>
    <w:rsid w:val="00E62835"/>
    <w:rsid w:val="00E645EA"/>
    <w:rsid w:val="00E646B9"/>
    <w:rsid w:val="00E66EDF"/>
    <w:rsid w:val="00E6706C"/>
    <w:rsid w:val="00E77645"/>
    <w:rsid w:val="00E852FF"/>
    <w:rsid w:val="00E90ABE"/>
    <w:rsid w:val="00E957C7"/>
    <w:rsid w:val="00EA1D56"/>
    <w:rsid w:val="00EA1F86"/>
    <w:rsid w:val="00EA22F8"/>
    <w:rsid w:val="00EA246A"/>
    <w:rsid w:val="00EA27BC"/>
    <w:rsid w:val="00EB25FB"/>
    <w:rsid w:val="00EC408B"/>
    <w:rsid w:val="00EC4A25"/>
    <w:rsid w:val="00EC6A3B"/>
    <w:rsid w:val="00EC7FC4"/>
    <w:rsid w:val="00ED2F17"/>
    <w:rsid w:val="00ED5B38"/>
    <w:rsid w:val="00EE0A1E"/>
    <w:rsid w:val="00EE3C43"/>
    <w:rsid w:val="00EE41E9"/>
    <w:rsid w:val="00EF2712"/>
    <w:rsid w:val="00EF731B"/>
    <w:rsid w:val="00F00F8F"/>
    <w:rsid w:val="00F025A2"/>
    <w:rsid w:val="00F04CC0"/>
    <w:rsid w:val="00F1044D"/>
    <w:rsid w:val="00F120A1"/>
    <w:rsid w:val="00F2026E"/>
    <w:rsid w:val="00F2210A"/>
    <w:rsid w:val="00F36BF9"/>
    <w:rsid w:val="00F37743"/>
    <w:rsid w:val="00F413A9"/>
    <w:rsid w:val="00F419A6"/>
    <w:rsid w:val="00F520DA"/>
    <w:rsid w:val="00F525AA"/>
    <w:rsid w:val="00F52DA0"/>
    <w:rsid w:val="00F52F9F"/>
    <w:rsid w:val="00F53F57"/>
    <w:rsid w:val="00F54A3D"/>
    <w:rsid w:val="00F653B8"/>
    <w:rsid w:val="00F76F8F"/>
    <w:rsid w:val="00F84B07"/>
    <w:rsid w:val="00F85B6F"/>
    <w:rsid w:val="00F876F9"/>
    <w:rsid w:val="00F97E68"/>
    <w:rsid w:val="00FA1048"/>
    <w:rsid w:val="00FA1266"/>
    <w:rsid w:val="00FA16BE"/>
    <w:rsid w:val="00FA349C"/>
    <w:rsid w:val="00FA48CA"/>
    <w:rsid w:val="00FB2BEA"/>
    <w:rsid w:val="00FC1192"/>
    <w:rsid w:val="00FC1F12"/>
    <w:rsid w:val="00FC25B7"/>
    <w:rsid w:val="00FC2B61"/>
    <w:rsid w:val="00FC53BF"/>
    <w:rsid w:val="00FC6713"/>
    <w:rsid w:val="00FE4A36"/>
    <w:rsid w:val="00FF2D69"/>
    <w:rsid w:val="00FF4BAA"/>
    <w:rsid w:val="00FF7BCD"/>
    <w:rsid w:val="02270FF2"/>
    <w:rsid w:val="061547E1"/>
    <w:rsid w:val="06AE0242"/>
    <w:rsid w:val="06BB7E73"/>
    <w:rsid w:val="07F33B3B"/>
    <w:rsid w:val="08E567B3"/>
    <w:rsid w:val="0C4D3009"/>
    <w:rsid w:val="0D79530F"/>
    <w:rsid w:val="0E0639A9"/>
    <w:rsid w:val="0F6F680F"/>
    <w:rsid w:val="135D9FFE"/>
    <w:rsid w:val="13F65A5F"/>
    <w:rsid w:val="14382925"/>
    <w:rsid w:val="151BDD4D"/>
    <w:rsid w:val="16CC56D7"/>
    <w:rsid w:val="18537E0F"/>
    <w:rsid w:val="1B8B1ED1"/>
    <w:rsid w:val="1F56F40C"/>
    <w:rsid w:val="21DD3CE4"/>
    <w:rsid w:val="223AD810"/>
    <w:rsid w:val="229E7848"/>
    <w:rsid w:val="24462BAA"/>
    <w:rsid w:val="264B0CC7"/>
    <w:rsid w:val="29675DE8"/>
    <w:rsid w:val="2D480932"/>
    <w:rsid w:val="2DC5D7ED"/>
    <w:rsid w:val="2EDABC84"/>
    <w:rsid w:val="2FB32D9F"/>
    <w:rsid w:val="2FBF370C"/>
    <w:rsid w:val="30C4FA4E"/>
    <w:rsid w:val="345A9E0E"/>
    <w:rsid w:val="34923099"/>
    <w:rsid w:val="34A4DCD0"/>
    <w:rsid w:val="37487066"/>
    <w:rsid w:val="384495FA"/>
    <w:rsid w:val="4009D633"/>
    <w:rsid w:val="40478883"/>
    <w:rsid w:val="411DB4A4"/>
    <w:rsid w:val="41C165D7"/>
    <w:rsid w:val="42B6F19F"/>
    <w:rsid w:val="42DFD2AB"/>
    <w:rsid w:val="45A903FA"/>
    <w:rsid w:val="46FA1D98"/>
    <w:rsid w:val="49C76194"/>
    <w:rsid w:val="4AB43CDD"/>
    <w:rsid w:val="4BF0E911"/>
    <w:rsid w:val="4D522E50"/>
    <w:rsid w:val="4E1074DF"/>
    <w:rsid w:val="4E7B5166"/>
    <w:rsid w:val="4ECFAC77"/>
    <w:rsid w:val="5165FDE1"/>
    <w:rsid w:val="51A6A9EE"/>
    <w:rsid w:val="535F3412"/>
    <w:rsid w:val="5483E547"/>
    <w:rsid w:val="5535E2CD"/>
    <w:rsid w:val="5613941D"/>
    <w:rsid w:val="5A5D4327"/>
    <w:rsid w:val="5B2ECC72"/>
    <w:rsid w:val="5CFB2306"/>
    <w:rsid w:val="5D727168"/>
    <w:rsid w:val="5E0A786A"/>
    <w:rsid w:val="635BEC3A"/>
    <w:rsid w:val="636A9FEB"/>
    <w:rsid w:val="63915CC9"/>
    <w:rsid w:val="6597821D"/>
    <w:rsid w:val="6671EA1B"/>
    <w:rsid w:val="66E36668"/>
    <w:rsid w:val="685DFFE5"/>
    <w:rsid w:val="68FB1A01"/>
    <w:rsid w:val="69A8E702"/>
    <w:rsid w:val="6C1D5207"/>
    <w:rsid w:val="6E08B19F"/>
    <w:rsid w:val="6E523D66"/>
    <w:rsid w:val="6FCCF4C0"/>
    <w:rsid w:val="74153CB7"/>
    <w:rsid w:val="74927C46"/>
    <w:rsid w:val="75DEF9DE"/>
    <w:rsid w:val="75E77BF8"/>
    <w:rsid w:val="776F9524"/>
    <w:rsid w:val="782B91B0"/>
    <w:rsid w:val="7887F8D4"/>
    <w:rsid w:val="790FDAA7"/>
    <w:rsid w:val="7DB8771C"/>
    <w:rsid w:val="7EE8C208"/>
    <w:rsid w:val="7F294E86"/>
    <w:rsid w:val="7F9FAD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styleId="CommentReference">
    <w:name w:val="annotation reference"/>
    <w:basedOn w:val="DefaultParagraphFont"/>
    <w:rsid w:val="00F525AA"/>
    <w:rPr>
      <w:sz w:val="16"/>
      <w:szCs w:val="16"/>
    </w:rPr>
  </w:style>
  <w:style w:type="paragraph" w:styleId="CommentText">
    <w:name w:val="annotation text"/>
    <w:basedOn w:val="Normal"/>
    <w:link w:val="CommentTextChar"/>
    <w:rsid w:val="00F525AA"/>
  </w:style>
  <w:style w:type="character" w:customStyle="1" w:styleId="CommentTextChar">
    <w:name w:val="Comment Text Char"/>
    <w:basedOn w:val="DefaultParagraphFont"/>
    <w:link w:val="CommentText"/>
    <w:rsid w:val="00F525AA"/>
    <w:rPr>
      <w:lang w:val="en-GB" w:eastAsia="en-US"/>
    </w:rPr>
  </w:style>
  <w:style w:type="paragraph" w:styleId="CommentSubject">
    <w:name w:val="annotation subject"/>
    <w:basedOn w:val="CommentText"/>
    <w:next w:val="CommentText"/>
    <w:link w:val="CommentSubjectChar"/>
    <w:rsid w:val="00F525AA"/>
    <w:rPr>
      <w:b/>
      <w:bCs/>
    </w:rPr>
  </w:style>
  <w:style w:type="character" w:customStyle="1" w:styleId="CommentSubjectChar">
    <w:name w:val="Comment Subject Char"/>
    <w:basedOn w:val="CommentTextChar"/>
    <w:link w:val="CommentSubject"/>
    <w:rsid w:val="00F525AA"/>
    <w:rPr>
      <w:b/>
      <w:bCs/>
      <w:lang w:val="en-GB" w:eastAsia="en-US"/>
    </w:rPr>
  </w:style>
  <w:style w:type="character" w:styleId="FollowedHyperlink">
    <w:name w:val="FollowedHyperlink"/>
    <w:basedOn w:val="DefaultParagraphFont"/>
    <w:rsid w:val="00C07774"/>
    <w:rPr>
      <w:color w:val="954F72" w:themeColor="followedHyperlink"/>
      <w:u w:val="single"/>
    </w:rPr>
  </w:style>
  <w:style w:type="character" w:styleId="Mention">
    <w:name w:val="Mention"/>
    <w:basedOn w:val="DefaultParagraphFont"/>
    <w:uiPriority w:val="99"/>
    <w:unhideWhenUsed/>
    <w:rsid w:val="00C07774"/>
    <w:rPr>
      <w:color w:val="2B579A"/>
      <w:shd w:val="clear" w:color="auto" w:fill="E1DFDD"/>
    </w:rPr>
  </w:style>
  <w:style w:type="paragraph" w:customStyle="1" w:styleId="Agreement">
    <w:name w:val="Agreement"/>
    <w:basedOn w:val="Normal"/>
    <w:next w:val="Normal"/>
    <w:uiPriority w:val="99"/>
    <w:qFormat/>
    <w:rsid w:val="007F6989"/>
    <w:pPr>
      <w:numPr>
        <w:numId w:val="18"/>
      </w:numPr>
      <w:spacing w:before="60" w:after="0"/>
    </w:pPr>
    <w:rPr>
      <w:rFonts w:ascii="Arial" w:eastAsia="MS Mincho" w:hAnsi="Arial"/>
      <w:b/>
      <w:szCs w:val="24"/>
      <w:lang w:eastAsia="en-GB"/>
    </w:rPr>
  </w:style>
  <w:style w:type="character" w:customStyle="1" w:styleId="spellingerror">
    <w:name w:val="spellingerror"/>
    <w:basedOn w:val="DefaultParagraphFont"/>
    <w:rsid w:val="00DC5C1A"/>
  </w:style>
  <w:style w:type="character" w:customStyle="1" w:styleId="PLChar">
    <w:name w:val="PL Char"/>
    <w:link w:val="PL"/>
    <w:qFormat/>
    <w:locked/>
    <w:rsid w:val="00D86C8C"/>
    <w:rPr>
      <w:rFonts w:ascii="Courier New" w:hAnsi="Courier New"/>
      <w:noProof/>
      <w:sz w:val="16"/>
      <w:lang w:val="en-GB" w:eastAsia="en-US"/>
    </w:rPr>
  </w:style>
  <w:style w:type="character" w:customStyle="1" w:styleId="TALCar">
    <w:name w:val="TAL Car"/>
    <w:link w:val="TAL"/>
    <w:qFormat/>
    <w:locked/>
    <w:rsid w:val="009A35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650795373">
      <w:bodyDiv w:val="1"/>
      <w:marLeft w:val="0"/>
      <w:marRight w:val="0"/>
      <w:marTop w:val="0"/>
      <w:marBottom w:val="0"/>
      <w:divBdr>
        <w:top w:val="none" w:sz="0" w:space="0" w:color="auto"/>
        <w:left w:val="none" w:sz="0" w:space="0" w:color="auto"/>
        <w:bottom w:val="none" w:sz="0" w:space="0" w:color="auto"/>
        <w:right w:val="none" w:sz="0" w:space="0" w:color="auto"/>
      </w:divBdr>
    </w:div>
    <w:div w:id="775249824">
      <w:bodyDiv w:val="1"/>
      <w:marLeft w:val="0"/>
      <w:marRight w:val="0"/>
      <w:marTop w:val="0"/>
      <w:marBottom w:val="0"/>
      <w:divBdr>
        <w:top w:val="none" w:sz="0" w:space="0" w:color="auto"/>
        <w:left w:val="none" w:sz="0" w:space="0" w:color="auto"/>
        <w:bottom w:val="none" w:sz="0" w:space="0" w:color="auto"/>
        <w:right w:val="none" w:sz="0" w:space="0" w:color="auto"/>
      </w:divBdr>
      <w:divsChild>
        <w:div w:id="737829636">
          <w:marLeft w:val="1051"/>
          <w:marRight w:val="0"/>
          <w:marTop w:val="0"/>
          <w:marBottom w:val="59"/>
          <w:divBdr>
            <w:top w:val="none" w:sz="0" w:space="0" w:color="auto"/>
            <w:left w:val="none" w:sz="0" w:space="0" w:color="auto"/>
            <w:bottom w:val="none" w:sz="0" w:space="0" w:color="auto"/>
            <w:right w:val="none" w:sz="0" w:space="0" w:color="auto"/>
          </w:divBdr>
        </w:div>
      </w:divsChild>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1145463267">
      <w:bodyDiv w:val="1"/>
      <w:marLeft w:val="0"/>
      <w:marRight w:val="0"/>
      <w:marTop w:val="0"/>
      <w:marBottom w:val="0"/>
      <w:divBdr>
        <w:top w:val="none" w:sz="0" w:space="0" w:color="auto"/>
        <w:left w:val="none" w:sz="0" w:space="0" w:color="auto"/>
        <w:bottom w:val="none" w:sz="0" w:space="0" w:color="auto"/>
        <w:right w:val="none" w:sz="0" w:space="0" w:color="auto"/>
      </w:divBdr>
    </w:div>
    <w:div w:id="1474635981">
      <w:bodyDiv w:val="1"/>
      <w:marLeft w:val="0"/>
      <w:marRight w:val="0"/>
      <w:marTop w:val="0"/>
      <w:marBottom w:val="0"/>
      <w:divBdr>
        <w:top w:val="none" w:sz="0" w:space="0" w:color="auto"/>
        <w:left w:val="none" w:sz="0" w:space="0" w:color="auto"/>
        <w:bottom w:val="none" w:sz="0" w:space="0" w:color="auto"/>
        <w:right w:val="none" w:sz="0" w:space="0" w:color="auto"/>
      </w:divBdr>
    </w:div>
    <w:div w:id="1480345087">
      <w:bodyDiv w:val="1"/>
      <w:marLeft w:val="0"/>
      <w:marRight w:val="0"/>
      <w:marTop w:val="0"/>
      <w:marBottom w:val="0"/>
      <w:divBdr>
        <w:top w:val="none" w:sz="0" w:space="0" w:color="auto"/>
        <w:left w:val="none" w:sz="0" w:space="0" w:color="auto"/>
        <w:bottom w:val="none" w:sz="0" w:space="0" w:color="auto"/>
        <w:right w:val="none" w:sz="0" w:space="0" w:color="auto"/>
      </w:divBdr>
    </w:div>
    <w:div w:id="1772818614">
      <w:bodyDiv w:val="1"/>
      <w:marLeft w:val="0"/>
      <w:marRight w:val="0"/>
      <w:marTop w:val="0"/>
      <w:marBottom w:val="0"/>
      <w:divBdr>
        <w:top w:val="none" w:sz="0" w:space="0" w:color="auto"/>
        <w:left w:val="none" w:sz="0" w:space="0" w:color="auto"/>
        <w:bottom w:val="none" w:sz="0" w:space="0" w:color="auto"/>
        <w:right w:val="none" w:sz="0" w:space="0" w:color="auto"/>
      </w:divBdr>
    </w:div>
    <w:div w:id="1791509971">
      <w:bodyDiv w:val="1"/>
      <w:marLeft w:val="0"/>
      <w:marRight w:val="0"/>
      <w:marTop w:val="0"/>
      <w:marBottom w:val="0"/>
      <w:divBdr>
        <w:top w:val="none" w:sz="0" w:space="0" w:color="auto"/>
        <w:left w:val="none" w:sz="0" w:space="0" w:color="auto"/>
        <w:bottom w:val="none" w:sz="0" w:space="0" w:color="auto"/>
        <w:right w:val="none" w:sz="0" w:space="0" w:color="auto"/>
      </w:divBdr>
    </w:div>
    <w:div w:id="1797798358">
      <w:bodyDiv w:val="1"/>
      <w:marLeft w:val="0"/>
      <w:marRight w:val="0"/>
      <w:marTop w:val="0"/>
      <w:marBottom w:val="0"/>
      <w:divBdr>
        <w:top w:val="none" w:sz="0" w:space="0" w:color="auto"/>
        <w:left w:val="none" w:sz="0" w:space="0" w:color="auto"/>
        <w:bottom w:val="none" w:sz="0" w:space="0" w:color="auto"/>
        <w:right w:val="none" w:sz="0" w:space="0" w:color="auto"/>
      </w:divBdr>
    </w:div>
    <w:div w:id="2027050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2023-02-17T08:35:00Z</dcterms:created>
  <dcterms:modified xsi:type="dcterms:W3CDTF">2023-02-17T08:35:00Z</dcterms:modified>
</cp:coreProperties>
</file>